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67CE2402"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12</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E473E2">
        <w:rPr>
          <w:rFonts w:ascii="Arial" w:hAnsi="Arial" w:cs="Arial"/>
          <w:b/>
          <w:bCs/>
          <w:sz w:val="28"/>
        </w:rPr>
        <w:t>R1-2</w:t>
      </w:r>
      <w:r w:rsidR="00773DDC" w:rsidRPr="00E473E2">
        <w:rPr>
          <w:rFonts w:ascii="Arial" w:hAnsi="Arial" w:cs="Arial"/>
          <w:b/>
          <w:bCs/>
          <w:sz w:val="28"/>
        </w:rPr>
        <w:t>30</w:t>
      </w:r>
      <w:r w:rsidR="00E473E2" w:rsidRPr="00E473E2">
        <w:rPr>
          <w:rFonts w:ascii="Arial" w:hAnsi="Arial" w:cs="Arial"/>
          <w:b/>
          <w:bCs/>
          <w:sz w:val="28"/>
        </w:rPr>
        <w:t>1606</w:t>
      </w:r>
      <w:r w:rsidR="00B97E2E" w:rsidRPr="006B4B4A">
        <w:rPr>
          <w:rFonts w:ascii="Arial" w:hAnsi="Arial" w:cs="Arial"/>
          <w:b/>
          <w:bCs/>
          <w:color w:val="000000" w:themeColor="text1"/>
          <w:sz w:val="28"/>
        </w:rPr>
        <w:t xml:space="preserve"> </w:t>
      </w:r>
      <w:r w:rsidR="003B7F53" w:rsidRPr="003B7F53">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E0D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5074D109"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300641">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6A4E78C9"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0B3DCF">
        <w:rPr>
          <w:rFonts w:ascii="Arial" w:hAnsi="Arial"/>
          <w:sz w:val="24"/>
        </w:rPr>
        <w:t>On RedCap</w:t>
      </w:r>
      <w:r w:rsidR="005B5A8F" w:rsidRPr="000B3DCF">
        <w:rPr>
          <w:rFonts w:ascii="Arial" w:hAnsi="Arial"/>
          <w:sz w:val="24"/>
        </w:rPr>
        <w:t xml:space="preserve"> remaining issues</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4A48379C" w14:textId="32497770" w:rsidR="00B51185" w:rsidRDefault="00F8228F" w:rsidP="0046458B">
      <w:r>
        <w:t xml:space="preserve">In this contribution, we discuss two identified R17 RedCap </w:t>
      </w:r>
      <w:r w:rsidR="00B51185">
        <w:t>remaining issues</w:t>
      </w:r>
      <w:r>
        <w:t xml:space="preserve">. The first issue is </w:t>
      </w:r>
      <w:r w:rsidR="00802735">
        <w:t xml:space="preserve">about performing </w:t>
      </w:r>
      <w:r w:rsidR="00B51185">
        <w:t xml:space="preserve">small data transmission (SDT) </w:t>
      </w:r>
      <w:r>
        <w:t>in RedCap-specific initial BWP</w:t>
      </w:r>
      <w:r w:rsidR="00802735">
        <w:t xml:space="preserve"> that does not contain</w:t>
      </w:r>
      <w:r>
        <w:t xml:space="preserve"> CD-SSB</w:t>
      </w:r>
      <w:r w:rsidR="00802735">
        <w:t xml:space="preserve">. The second issue is about PRACH occasion and PUSCH occasion validation </w:t>
      </w:r>
      <w:r w:rsidR="006A16B7">
        <w:t xml:space="preserve">in TDD </w:t>
      </w:r>
      <w:r w:rsidR="00896220">
        <w:t xml:space="preserve">when NCD-SSB or no SSB is configured to a UE in a BWP. </w:t>
      </w:r>
      <w:r w:rsidR="006A16B7">
        <w:t xml:space="preserve">How UE should determine valid PRACH occasions and PUSCH occasions are not clearly defined in current specification TS38.213 for the following two cases: (1) UE is configured with NCD-SSB in a BWP; and (2) UE is not configured any SSB in a BWP. The companion draft CR can be found in </w:t>
      </w:r>
      <w:r w:rsidR="00C575DD">
        <w:fldChar w:fldCharType="begin"/>
      </w:r>
      <w:r w:rsidR="00C575DD">
        <w:instrText xml:space="preserve"> REF _Ref127351468 \r \h </w:instrText>
      </w:r>
      <w:r w:rsidR="00C575DD">
        <w:fldChar w:fldCharType="separate"/>
      </w:r>
      <w:r w:rsidR="004966E5">
        <w:t>[1]</w:t>
      </w:r>
      <w:r w:rsidR="00C575DD">
        <w:fldChar w:fldCharType="end"/>
      </w:r>
      <w:r w:rsidR="00C575DD">
        <w:t>.</w:t>
      </w:r>
    </w:p>
    <w:p w14:paraId="5F23D7AD" w14:textId="011288F5" w:rsidR="00664A88" w:rsidRPr="004757BE" w:rsidRDefault="00131692" w:rsidP="0046458B">
      <w:pPr>
        <w:pStyle w:val="Heading1"/>
        <w:jc w:val="both"/>
        <w:rPr>
          <w:lang w:val="en-US"/>
        </w:rPr>
      </w:pPr>
      <w:r>
        <w:rPr>
          <w:lang w:val="en-US"/>
        </w:rPr>
        <w:t>SDT</w:t>
      </w:r>
      <w:r w:rsidR="00AF54C5">
        <w:rPr>
          <w:lang w:val="en-US"/>
        </w:rPr>
        <w:t xml:space="preserve"> </w:t>
      </w:r>
      <w:r w:rsidR="007314FE">
        <w:rPr>
          <w:lang w:val="en-US"/>
        </w:rPr>
        <w:t>i</w:t>
      </w:r>
      <w:r w:rsidR="00AF54C5">
        <w:rPr>
          <w:lang w:val="en-US"/>
        </w:rPr>
        <w:t xml:space="preserve">n RedCap-specific </w:t>
      </w:r>
      <w:r w:rsidR="008D46A7">
        <w:rPr>
          <w:lang w:val="en-US"/>
        </w:rPr>
        <w:t>i</w:t>
      </w:r>
      <w:r w:rsidR="00AF54C5">
        <w:rPr>
          <w:lang w:val="en-US"/>
        </w:rPr>
        <w:t>nitial BWP</w:t>
      </w:r>
    </w:p>
    <w:p w14:paraId="0889CAE2" w14:textId="6C3F6218" w:rsidR="00FA0419" w:rsidRPr="00FA0419" w:rsidRDefault="00FA0419" w:rsidP="0046458B">
      <w:pPr>
        <w:rPr>
          <w:b/>
          <w:bCs/>
          <w:u w:val="single"/>
        </w:rPr>
      </w:pPr>
      <w:r w:rsidRPr="00FA0419">
        <w:rPr>
          <w:rFonts w:hint="eastAsia"/>
          <w:b/>
          <w:bCs/>
          <w:u w:val="single"/>
        </w:rPr>
        <w:t>B</w:t>
      </w:r>
      <w:r w:rsidRPr="00FA0419">
        <w:rPr>
          <w:b/>
          <w:bCs/>
          <w:u w:val="single"/>
        </w:rPr>
        <w:t>ackground</w:t>
      </w:r>
    </w:p>
    <w:p w14:paraId="02C2C591" w14:textId="5E5B08D2" w:rsidR="005865A1" w:rsidRDefault="005865A1" w:rsidP="0046458B">
      <w:r>
        <w:rPr>
          <w:rFonts w:hint="eastAsia"/>
        </w:rPr>
        <w:t>A</w:t>
      </w:r>
      <w:r>
        <w:t xml:space="preserve">t RAN1 #111, </w:t>
      </w:r>
      <w:r w:rsidR="000D5029">
        <w:t xml:space="preserve">the following conclusions were made that </w:t>
      </w:r>
      <w:r w:rsidR="006A1A1B">
        <w:t>SDT on RedCap-specific initial BWP without CD-SSB will be revisited</w:t>
      </w:r>
      <w:r w:rsidR="00F12205">
        <w:t xml:space="preserve"> at RAN1 #112. </w:t>
      </w:r>
    </w:p>
    <w:tbl>
      <w:tblPr>
        <w:tblStyle w:val="TableGrid"/>
        <w:tblW w:w="0" w:type="auto"/>
        <w:tblLook w:val="04A0" w:firstRow="1" w:lastRow="0" w:firstColumn="1" w:lastColumn="0" w:noHBand="0" w:noVBand="1"/>
      </w:tblPr>
      <w:tblGrid>
        <w:gridCol w:w="9631"/>
      </w:tblGrid>
      <w:tr w:rsidR="005865A1" w:rsidRPr="005865A1" w14:paraId="61E146C4" w14:textId="77777777" w:rsidTr="005865A1">
        <w:tc>
          <w:tcPr>
            <w:tcW w:w="9631" w:type="dxa"/>
          </w:tcPr>
          <w:p w14:paraId="5C6658FF" w14:textId="77777777" w:rsidR="005865A1" w:rsidRPr="005865A1" w:rsidRDefault="005865A1" w:rsidP="005865A1">
            <w:pPr>
              <w:rPr>
                <w:rFonts w:ascii="Times New Roman" w:hAnsi="Times New Roman"/>
                <w:lang w:eastAsia="ko-KR"/>
              </w:rPr>
            </w:pPr>
            <w:r w:rsidRPr="005865A1">
              <w:rPr>
                <w:rFonts w:ascii="Times New Roman" w:hAnsi="Times New Roman"/>
                <w:lang w:eastAsia="x-none"/>
              </w:rPr>
              <w:t>Conclusion:</w:t>
            </w:r>
            <w:r w:rsidRPr="005865A1">
              <w:rPr>
                <w:rFonts w:ascii="Times New Roman" w:hAnsi="Times New Roman"/>
                <w:color w:val="FF0000"/>
              </w:rPr>
              <w:t xml:space="preserve"> (no spec impact)</w:t>
            </w:r>
          </w:p>
          <w:p w14:paraId="5D7106FA" w14:textId="77777777" w:rsidR="005865A1" w:rsidRPr="005865A1" w:rsidRDefault="005865A1" w:rsidP="005865A1">
            <w:pPr>
              <w:numPr>
                <w:ilvl w:val="0"/>
                <w:numId w:val="27"/>
              </w:numPr>
              <w:overflowPunct/>
              <w:autoSpaceDE/>
              <w:autoSpaceDN/>
              <w:adjustRightInd/>
              <w:spacing w:after="0"/>
              <w:textAlignment w:val="auto"/>
              <w:rPr>
                <w:rFonts w:ascii="Times New Roman" w:hAnsi="Times New Roman"/>
                <w:lang w:eastAsia="ko-KR"/>
              </w:rPr>
            </w:pPr>
            <w:r w:rsidRPr="005865A1">
              <w:rPr>
                <w:rFonts w:ascii="Times New Roman" w:hAnsi="Times New Roman"/>
                <w:lang w:eastAsia="ko-KR"/>
              </w:rPr>
              <w:t>No issue is identified for RedCap UEs supporting RA-SDT to support initial (non-subsequent) RA-SDT transmission in a RedCap-specific separate initial BWP without CD-SSB.</w:t>
            </w:r>
          </w:p>
          <w:p w14:paraId="54258494" w14:textId="77777777" w:rsidR="005865A1" w:rsidRPr="00633CDB" w:rsidRDefault="005865A1" w:rsidP="005865A1">
            <w:pPr>
              <w:rPr>
                <w:rFonts w:ascii="Times New Roman" w:eastAsia="Malgun Gothic" w:hAnsi="Times New Roman"/>
                <w:lang w:eastAsia="ko-KR"/>
              </w:rPr>
            </w:pPr>
          </w:p>
          <w:p w14:paraId="3E5C00DA" w14:textId="77777777" w:rsidR="005865A1" w:rsidRPr="005865A1" w:rsidRDefault="005865A1" w:rsidP="005865A1">
            <w:pPr>
              <w:rPr>
                <w:rFonts w:ascii="Times New Roman" w:hAnsi="Times New Roman"/>
                <w:szCs w:val="24"/>
                <w:lang w:val="en-GB" w:eastAsia="x-none"/>
              </w:rPr>
            </w:pPr>
            <w:r w:rsidRPr="005865A1">
              <w:rPr>
                <w:rFonts w:ascii="Times New Roman" w:hAnsi="Times New Roman"/>
                <w:lang w:eastAsia="x-none"/>
              </w:rPr>
              <w:t>Conclusion:</w:t>
            </w:r>
            <w:r w:rsidRPr="005865A1">
              <w:rPr>
                <w:rFonts w:ascii="Times New Roman" w:hAnsi="Times New Roman"/>
                <w:color w:val="FF0000"/>
              </w:rPr>
              <w:t xml:space="preserve"> (no spec impact)</w:t>
            </w:r>
          </w:p>
          <w:p w14:paraId="6A9971ED" w14:textId="77777777" w:rsidR="005865A1" w:rsidRPr="005865A1" w:rsidRDefault="005865A1" w:rsidP="005865A1">
            <w:pPr>
              <w:rPr>
                <w:rFonts w:ascii="Times New Roman" w:eastAsia="DengXian" w:hAnsi="Times New Roman"/>
                <w:szCs w:val="22"/>
                <w:lang w:eastAsia="zh-CN"/>
              </w:rPr>
            </w:pPr>
            <w:r w:rsidRPr="005865A1">
              <w:rPr>
                <w:rFonts w:ascii="Times New Roman" w:eastAsia="DengXian" w:hAnsi="Times New Roman"/>
                <w:szCs w:val="22"/>
                <w:lang w:eastAsia="zh-CN"/>
              </w:rPr>
              <w:t xml:space="preserve">The following cases </w:t>
            </w:r>
            <w:r w:rsidRPr="005865A1">
              <w:rPr>
                <w:rFonts w:ascii="Times New Roman" w:hAnsi="Times New Roman"/>
              </w:rPr>
              <w:t>can</w:t>
            </w:r>
            <w:r w:rsidRPr="005865A1">
              <w:rPr>
                <w:rFonts w:ascii="Times New Roman" w:eastAsia="DengXian" w:hAnsi="Times New Roman"/>
                <w:szCs w:val="22"/>
                <w:lang w:eastAsia="zh-CN"/>
              </w:rPr>
              <w:t xml:space="preserve"> be revisited in RAN1#112:</w:t>
            </w:r>
          </w:p>
          <w:p w14:paraId="1BB47CEC" w14:textId="77777777" w:rsidR="005865A1" w:rsidRPr="005865A1" w:rsidRDefault="005865A1" w:rsidP="005865A1">
            <w:pPr>
              <w:numPr>
                <w:ilvl w:val="0"/>
                <w:numId w:val="27"/>
              </w:numPr>
              <w:overflowPunct/>
              <w:autoSpaceDE/>
              <w:autoSpaceDN/>
              <w:adjustRightInd/>
              <w:spacing w:after="0"/>
              <w:textAlignment w:val="auto"/>
              <w:rPr>
                <w:rFonts w:ascii="Times New Roman" w:eastAsia="Batang" w:hAnsi="Times New Roman"/>
                <w:lang w:eastAsia="ko-KR"/>
              </w:rPr>
            </w:pPr>
            <w:r w:rsidRPr="005865A1">
              <w:rPr>
                <w:rFonts w:ascii="Times New Roman" w:hAnsi="Times New Roman"/>
                <w:lang w:eastAsia="ko-KR"/>
              </w:rPr>
              <w:t>Subsequent RA-SDT transmission in a RedCap-specific separate initial BWP without CD-SSB</w:t>
            </w:r>
          </w:p>
          <w:p w14:paraId="76292BD1" w14:textId="77777777" w:rsidR="005865A1" w:rsidRPr="005865A1" w:rsidRDefault="005865A1" w:rsidP="005865A1">
            <w:pPr>
              <w:numPr>
                <w:ilvl w:val="0"/>
                <w:numId w:val="27"/>
              </w:numPr>
              <w:overflowPunct/>
              <w:autoSpaceDE/>
              <w:autoSpaceDN/>
              <w:adjustRightInd/>
              <w:spacing w:after="0"/>
              <w:textAlignment w:val="auto"/>
              <w:rPr>
                <w:rFonts w:ascii="Times New Roman" w:hAnsi="Times New Roman"/>
                <w:lang w:eastAsia="ko-KR"/>
              </w:rPr>
            </w:pPr>
            <w:r w:rsidRPr="005865A1">
              <w:rPr>
                <w:rFonts w:ascii="Times New Roman" w:hAnsi="Times New Roman"/>
                <w:lang w:eastAsia="ko-KR"/>
              </w:rPr>
              <w:t>CG-SDT in a RedCap-specific separate initial BWP without any SSB</w:t>
            </w:r>
          </w:p>
          <w:p w14:paraId="7962E467" w14:textId="22FDFAB9" w:rsidR="005865A1" w:rsidRPr="005865A1" w:rsidRDefault="005865A1" w:rsidP="0046458B">
            <w:pPr>
              <w:numPr>
                <w:ilvl w:val="0"/>
                <w:numId w:val="27"/>
              </w:numPr>
              <w:overflowPunct/>
              <w:autoSpaceDE/>
              <w:autoSpaceDN/>
              <w:adjustRightInd/>
              <w:spacing w:after="0"/>
              <w:textAlignment w:val="auto"/>
              <w:rPr>
                <w:rFonts w:ascii="Times New Roman" w:hAnsi="Times New Roman"/>
                <w:lang w:eastAsia="ko-KR"/>
              </w:rPr>
            </w:pPr>
            <w:r w:rsidRPr="005865A1">
              <w:rPr>
                <w:rFonts w:ascii="Times New Roman" w:hAnsi="Times New Roman"/>
                <w:lang w:eastAsia="ko-KR"/>
              </w:rPr>
              <w:t>CG-SDT in a RedCap-specific separate initial BWP without CD-SSB but with NCD-SSB</w:t>
            </w:r>
          </w:p>
        </w:tc>
      </w:tr>
    </w:tbl>
    <w:p w14:paraId="2852AD3A" w14:textId="2FF29953" w:rsidR="005865A1" w:rsidRDefault="005865A1" w:rsidP="0046458B"/>
    <w:p w14:paraId="08F0D255" w14:textId="07FEAA2D" w:rsidR="00E91855" w:rsidRDefault="00DB3353" w:rsidP="0046458B">
      <w:r>
        <w:rPr>
          <w:rFonts w:hint="eastAsia"/>
        </w:rPr>
        <w:t>A</w:t>
      </w:r>
      <w:r>
        <w:t>t RAN2 #120</w:t>
      </w:r>
      <w:r w:rsidR="00DE31FB">
        <w:t xml:space="preserve">, the following working assumption was agreed. </w:t>
      </w:r>
    </w:p>
    <w:tbl>
      <w:tblPr>
        <w:tblStyle w:val="TableGrid"/>
        <w:tblW w:w="0" w:type="auto"/>
        <w:tblLook w:val="04A0" w:firstRow="1" w:lastRow="0" w:firstColumn="1" w:lastColumn="0" w:noHBand="0" w:noVBand="1"/>
      </w:tblPr>
      <w:tblGrid>
        <w:gridCol w:w="9631"/>
      </w:tblGrid>
      <w:tr w:rsidR="00DB3353" w:rsidRPr="008B7222" w14:paraId="685A169D" w14:textId="77777777" w:rsidTr="00DB3353">
        <w:tc>
          <w:tcPr>
            <w:tcW w:w="9631" w:type="dxa"/>
          </w:tcPr>
          <w:p w14:paraId="6F2FA3A3" w14:textId="1FE0DE85" w:rsidR="00DB3353" w:rsidRPr="008B7222" w:rsidRDefault="00DB3353" w:rsidP="0046458B">
            <w:pPr>
              <w:rPr>
                <w:rFonts w:ascii="Times New Roman" w:hAnsi="Times New Roman"/>
              </w:rPr>
            </w:pPr>
            <w:r w:rsidRPr="008B7222">
              <w:rPr>
                <w:rFonts w:ascii="Times New Roman" w:hAnsi="Times New Roman"/>
              </w:rPr>
              <w:t>For CG-SDT purpose, RAN2 has basic assumption that SSB will be configured in initial BWP with CG-SDT.   Notify RAN1</w:t>
            </w:r>
          </w:p>
          <w:p w14:paraId="5EAE19BC" w14:textId="77777777" w:rsidR="00DB3353" w:rsidRPr="008B7222" w:rsidRDefault="00DB3353" w:rsidP="00DB3353">
            <w:pPr>
              <w:rPr>
                <w:rFonts w:ascii="Times New Roman" w:hAnsi="Times New Roman"/>
              </w:rPr>
            </w:pPr>
            <w:r w:rsidRPr="008B7222">
              <w:rPr>
                <w:rFonts w:ascii="Times New Roman" w:hAnsi="Times New Roman"/>
              </w:rPr>
              <w:t>RAN2 Assumption:</w:t>
            </w:r>
          </w:p>
          <w:p w14:paraId="0A75E836" w14:textId="581E2AF2" w:rsidR="00DB3353" w:rsidRPr="008B7222" w:rsidRDefault="00DB3353" w:rsidP="00DB3353">
            <w:pPr>
              <w:rPr>
                <w:rFonts w:ascii="Times New Roman" w:hAnsi="Times New Roman"/>
              </w:rPr>
            </w:pPr>
            <w:r w:rsidRPr="008B7222">
              <w:rPr>
                <w:rFonts w:ascii="Times New Roman" w:hAnsi="Times New Roman"/>
              </w:rPr>
              <w:t>1.</w:t>
            </w:r>
            <w:r w:rsidRPr="008B7222">
              <w:rPr>
                <w:rFonts w:ascii="Times New Roman" w:hAnsi="Times New Roman"/>
              </w:rPr>
              <w:tab/>
              <w:t>For CG-SDT purpose, RAN2 has basic assumption that SSB will be configured in initial BWP with CG-SDT. For RedCap FFS if SSB refers to CD-SSB or any SSB</w:t>
            </w:r>
          </w:p>
        </w:tc>
      </w:tr>
    </w:tbl>
    <w:p w14:paraId="452492B3" w14:textId="621F6193" w:rsidR="00DB3353" w:rsidRDefault="00DB3353" w:rsidP="0046458B"/>
    <w:p w14:paraId="68EF32FF" w14:textId="586F8445" w:rsidR="001D5AE0" w:rsidRDefault="001D5AE0" w:rsidP="0046458B">
      <w:r>
        <w:rPr>
          <w:rFonts w:hint="eastAsia"/>
        </w:rPr>
        <w:t>F</w:t>
      </w:r>
      <w:r>
        <w:t>rom RAN2 offline discussion, the following three options were discussed</w:t>
      </w:r>
      <w:r w:rsidR="00257225">
        <w:t xml:space="preserve"> </w:t>
      </w:r>
      <w:r w:rsidR="00257225">
        <w:fldChar w:fldCharType="begin"/>
      </w:r>
      <w:r w:rsidR="00257225">
        <w:instrText xml:space="preserve"> REF _Ref127354079 \r \h </w:instrText>
      </w:r>
      <w:r w:rsidR="00257225">
        <w:fldChar w:fldCharType="separate"/>
      </w:r>
      <w:r w:rsidR="004966E5">
        <w:t>[2]</w:t>
      </w:r>
      <w:r w:rsidR="00257225">
        <w:fldChar w:fldCharType="end"/>
      </w:r>
      <w:r>
        <w:t xml:space="preserve">. </w:t>
      </w:r>
      <w:r w:rsidR="00A840E5">
        <w:t xml:space="preserve">No further agreements were </w:t>
      </w:r>
      <w:r w:rsidR="00041F09">
        <w:t>reached,</w:t>
      </w:r>
      <w:r w:rsidR="00A840E5">
        <w:t xml:space="preserve"> and all three options are still on the table for </w:t>
      </w:r>
      <w:r w:rsidR="00C21364">
        <w:t>continued discussion</w:t>
      </w:r>
      <w:r w:rsidR="00A840E5">
        <w:t xml:space="preserve">. </w:t>
      </w:r>
    </w:p>
    <w:tbl>
      <w:tblPr>
        <w:tblStyle w:val="TableGrid"/>
        <w:tblW w:w="0" w:type="auto"/>
        <w:tblLook w:val="04A0" w:firstRow="1" w:lastRow="0" w:firstColumn="1" w:lastColumn="0" w:noHBand="0" w:noVBand="1"/>
      </w:tblPr>
      <w:tblGrid>
        <w:gridCol w:w="9631"/>
      </w:tblGrid>
      <w:tr w:rsidR="00594879" w:rsidRPr="008B7222" w14:paraId="3F547162" w14:textId="77777777" w:rsidTr="00594879">
        <w:tc>
          <w:tcPr>
            <w:tcW w:w="9631" w:type="dxa"/>
          </w:tcPr>
          <w:p w14:paraId="092C320D" w14:textId="77777777" w:rsidR="008B1ABF" w:rsidRPr="008B7222" w:rsidRDefault="008B1ABF" w:rsidP="008B1ABF">
            <w:pPr>
              <w:rPr>
                <w:rFonts w:ascii="Times New Roman" w:hAnsi="Times New Roman"/>
              </w:rPr>
            </w:pPr>
            <w:r w:rsidRPr="008B7222">
              <w:rPr>
                <w:rFonts w:ascii="Times New Roman" w:hAnsi="Times New Roman"/>
              </w:rPr>
              <w:t xml:space="preserve">Option 1: For CG-SDT purpose, RAN2 has basic assumption that CD-SSB will be configured in initial BWP with CG-SDT. </w:t>
            </w:r>
          </w:p>
          <w:p w14:paraId="4122FDAA" w14:textId="7F88DCB5" w:rsidR="00594879" w:rsidRPr="008B7222" w:rsidRDefault="008B1ABF" w:rsidP="008B1ABF">
            <w:pPr>
              <w:rPr>
                <w:rFonts w:ascii="Times New Roman" w:hAnsi="Times New Roman"/>
              </w:rPr>
            </w:pPr>
            <w:r w:rsidRPr="008B7222">
              <w:rPr>
                <w:rFonts w:ascii="Times New Roman" w:hAnsi="Times New Roman"/>
              </w:rPr>
              <w:lastRenderedPageBreak/>
              <w:t>Option 2: For CG-SDT purpose, RAN2 has basic assumption that NCD-SSB will be configured in initial BWP with CG-SDT.</w:t>
            </w:r>
          </w:p>
          <w:p w14:paraId="7C7C1592" w14:textId="08EACC2A" w:rsidR="00594879" w:rsidRPr="008B7222" w:rsidRDefault="00594879" w:rsidP="00594879">
            <w:pPr>
              <w:rPr>
                <w:rFonts w:ascii="Times New Roman" w:hAnsi="Times New Roman"/>
              </w:rPr>
            </w:pPr>
            <w:r w:rsidRPr="008B7222">
              <w:rPr>
                <w:rFonts w:ascii="Times New Roman" w:hAnsi="Times New Roman"/>
              </w:rPr>
              <w:t>Option 3: Allow CG-SDT on an initial BWP without SSB and it is up to UE implementation how to handle this scenario (potentially with separate UE capability)</w:t>
            </w:r>
          </w:p>
        </w:tc>
      </w:tr>
    </w:tbl>
    <w:p w14:paraId="205C6E7F" w14:textId="6710F46A" w:rsidR="00C03C42" w:rsidRPr="00CA45A6" w:rsidRDefault="00C03C42" w:rsidP="001E60E4">
      <w:pPr>
        <w:rPr>
          <w:rFonts w:eastAsiaTheme="minorEastAsia"/>
          <w:lang w:eastAsia="zh-TW"/>
        </w:rPr>
      </w:pPr>
    </w:p>
    <w:p w14:paraId="107D6C1D" w14:textId="42E3EBD1" w:rsidR="009E6249" w:rsidRPr="009E6249" w:rsidRDefault="006C7790" w:rsidP="001E60E4">
      <w:pPr>
        <w:rPr>
          <w:b/>
          <w:bCs/>
          <w:u w:val="single"/>
        </w:rPr>
      </w:pPr>
      <w:r>
        <w:rPr>
          <w:b/>
          <w:bCs/>
          <w:u w:val="single"/>
        </w:rPr>
        <w:t>Discussion</w:t>
      </w:r>
    </w:p>
    <w:p w14:paraId="40FB0811" w14:textId="77463B0A" w:rsidR="00A10C93" w:rsidRDefault="00F04254" w:rsidP="001E60E4">
      <w:r>
        <w:t xml:space="preserve">In </w:t>
      </w:r>
      <w:r w:rsidR="006055A4">
        <w:t xml:space="preserve">normal </w:t>
      </w:r>
      <w:r>
        <w:t xml:space="preserve">4-step </w:t>
      </w:r>
      <w:r w:rsidR="006055A4">
        <w:t>RACH procedure</w:t>
      </w:r>
      <w:r>
        <w:t xml:space="preserve"> illustrated in </w:t>
      </w:r>
      <w:r w:rsidR="00EB7195">
        <w:fldChar w:fldCharType="begin"/>
      </w:r>
      <w:r w:rsidR="00EB7195">
        <w:instrText xml:space="preserve"> REF _Ref127362679 \h </w:instrText>
      </w:r>
      <w:r w:rsidR="00EB7195">
        <w:fldChar w:fldCharType="separate"/>
      </w:r>
      <w:r w:rsidR="004966E5">
        <w:t xml:space="preserve">Figure </w:t>
      </w:r>
      <w:r w:rsidR="004966E5">
        <w:rPr>
          <w:noProof/>
        </w:rPr>
        <w:t>1</w:t>
      </w:r>
      <w:r w:rsidR="00EB7195">
        <w:fldChar w:fldCharType="end"/>
      </w:r>
      <w:r w:rsidR="006055A4">
        <w:t xml:space="preserve">, </w:t>
      </w:r>
      <w:r w:rsidR="00041F09">
        <w:t>a</w:t>
      </w:r>
      <w:r w:rsidR="006055A4">
        <w:t xml:space="preserve"> </w:t>
      </w:r>
      <w:r w:rsidR="00AC7385" w:rsidRPr="001E2E85">
        <w:rPr>
          <w:i/>
          <w:iCs/>
        </w:rPr>
        <w:t>typical</w:t>
      </w:r>
      <w:r w:rsidR="00AC7385">
        <w:t xml:space="preserve"> worst case that </w:t>
      </w:r>
      <w:r>
        <w:t xml:space="preserve">UE has to stay in the BWP without any SSBs is less than 100mse. </w:t>
      </w:r>
      <w:r w:rsidR="00B35EEE">
        <w:t xml:space="preserve">On the other hand, </w:t>
      </w:r>
      <w:r w:rsidR="005567EA">
        <w:t>in a SDT procedure</w:t>
      </w:r>
      <w:r w:rsidR="00EB7195">
        <w:t xml:space="preserve"> as shown in </w:t>
      </w:r>
      <w:r w:rsidR="00EB7195">
        <w:fldChar w:fldCharType="begin"/>
      </w:r>
      <w:r w:rsidR="00EB7195">
        <w:instrText xml:space="preserve"> REF _Ref127362668 \h </w:instrText>
      </w:r>
      <w:r w:rsidR="00EB7195">
        <w:fldChar w:fldCharType="separate"/>
      </w:r>
      <w:r w:rsidR="004966E5">
        <w:t xml:space="preserve">Figure </w:t>
      </w:r>
      <w:r w:rsidR="004966E5">
        <w:rPr>
          <w:noProof/>
        </w:rPr>
        <w:t>2</w:t>
      </w:r>
      <w:r w:rsidR="00EB7195">
        <w:fldChar w:fldCharType="end"/>
      </w:r>
      <w:r w:rsidR="005567EA">
        <w:t xml:space="preserve">, UE is required to monitor DL response from gNB </w:t>
      </w:r>
      <w:r w:rsidR="00CC7E3A">
        <w:t>after the initial transmission of PUSCH</w:t>
      </w:r>
      <w:r w:rsidR="001A0EE4">
        <w:t xml:space="preserve"> until SDT procedure is terminated. </w:t>
      </w:r>
      <w:r w:rsidR="003319F4">
        <w:t>The expiry of SDT timer T319a is one of the termination conditions</w:t>
      </w:r>
      <w:r w:rsidR="00945596">
        <w:t xml:space="preserve"> and</w:t>
      </w:r>
      <w:r w:rsidR="003319F4">
        <w:t xml:space="preserve"> the maximum value of T319a is up to 4000msec. </w:t>
      </w:r>
      <w:r w:rsidR="002C3498">
        <w:t>Without synchronization to any DL RS for several seconds will impact UE’s frequency and timing synchronization performance and hence its</w:t>
      </w:r>
      <w:r w:rsidR="00934CDF">
        <w:t xml:space="preserve"> performance of</w:t>
      </w:r>
      <w:r w:rsidR="002C3498">
        <w:t xml:space="preserve"> DL reception and UL transmission. </w:t>
      </w:r>
      <w:r w:rsidR="009A1AB0">
        <w:t xml:space="preserve">Therefore, Option 3 in RAN2’s offline discussion (i.e. </w:t>
      </w:r>
      <w:r w:rsidR="00181380">
        <w:t>the second case</w:t>
      </w:r>
      <w:r w:rsidR="009A1AB0">
        <w:t xml:space="preserve"> in RAN1’s </w:t>
      </w:r>
      <w:r w:rsidR="00F80B8F">
        <w:t xml:space="preserve">last </w:t>
      </w:r>
      <w:r w:rsidR="009A1AB0">
        <w:t xml:space="preserve">conclusion) should not be supported. </w:t>
      </w:r>
      <w:r w:rsidR="00C00970">
        <w:t xml:space="preserve">Only Option 1 and Option 2 should be considered to </w:t>
      </w:r>
      <w:r w:rsidR="009D3AAC">
        <w:t xml:space="preserve">relieve UE implementation efforts and </w:t>
      </w:r>
      <w:r w:rsidR="001C0132">
        <w:t>guarantee</w:t>
      </w:r>
      <w:r w:rsidR="00BE3D87">
        <w:t xml:space="preserve"> SDT performance in the field. </w:t>
      </w:r>
    </w:p>
    <w:p w14:paraId="5EBFB5E4" w14:textId="10C79D9F" w:rsidR="00EB7195" w:rsidRDefault="00EB7195" w:rsidP="00EB7195">
      <w:pPr>
        <w:pStyle w:val="Caption"/>
      </w:pPr>
      <w:bookmarkStart w:id="1" w:name="_Ref127561959"/>
      <w:r w:rsidRPr="00041F09">
        <w:t xml:space="preserve">Observation </w:t>
      </w:r>
      <w:r w:rsidR="00A007B2">
        <w:fldChar w:fldCharType="begin"/>
      </w:r>
      <w:r w:rsidR="00A007B2">
        <w:instrText xml:space="preserve"> SEQ Observation \* ARABIC </w:instrText>
      </w:r>
      <w:r w:rsidR="00A007B2">
        <w:fldChar w:fldCharType="separate"/>
      </w:r>
      <w:r w:rsidR="00231010">
        <w:rPr>
          <w:noProof/>
        </w:rPr>
        <w:t>1</w:t>
      </w:r>
      <w:r w:rsidR="00A007B2">
        <w:rPr>
          <w:noProof/>
        </w:rPr>
        <w:fldChar w:fldCharType="end"/>
      </w:r>
      <w:r w:rsidRPr="00041F09">
        <w:t>:</w:t>
      </w:r>
      <w:r>
        <w:t xml:space="preserve"> SSB is required for UE to perform DL synchronization and uplink timing alignment in RRC Inactive mode for both RA-SDT and CG-SDT.</w:t>
      </w:r>
      <w:bookmarkEnd w:id="1"/>
      <w:r>
        <w:t xml:space="preserve"> </w:t>
      </w:r>
    </w:p>
    <w:p w14:paraId="7BB1DB78" w14:textId="71625AC8" w:rsidR="00EB7195" w:rsidRDefault="00EB7195" w:rsidP="00EB7195">
      <w:pPr>
        <w:pStyle w:val="Caption"/>
      </w:pPr>
      <w:bookmarkStart w:id="2" w:name="_Ref127378471"/>
      <w:bookmarkStart w:id="3" w:name="_Ref127562033"/>
      <w:r w:rsidRPr="00041F09">
        <w:t xml:space="preserve">Proposal </w:t>
      </w:r>
      <w:r w:rsidR="00A007B2">
        <w:fldChar w:fldCharType="begin"/>
      </w:r>
      <w:r w:rsidR="00A007B2">
        <w:instrText xml:space="preserve"> SEQ Proposal \* ARABIC </w:instrText>
      </w:r>
      <w:r w:rsidR="00A007B2">
        <w:fldChar w:fldCharType="separate"/>
      </w:r>
      <w:r w:rsidR="00593AC7">
        <w:rPr>
          <w:noProof/>
        </w:rPr>
        <w:t>1</w:t>
      </w:r>
      <w:r w:rsidR="00A007B2">
        <w:rPr>
          <w:noProof/>
        </w:rPr>
        <w:fldChar w:fldCharType="end"/>
      </w:r>
      <w:bookmarkEnd w:id="2"/>
      <w:r w:rsidRPr="00041F09">
        <w:t>:</w:t>
      </w:r>
      <w:r>
        <w:t xml:space="preserve"> RA-SDT and CG-SDT are supported only in an initial BWP with SSB.</w:t>
      </w:r>
      <w:bookmarkEnd w:id="3"/>
      <w:r>
        <w:t xml:space="preserve"> </w:t>
      </w:r>
    </w:p>
    <w:p w14:paraId="1453BC31" w14:textId="253F3C04" w:rsidR="00966FFF" w:rsidRPr="00EB7195" w:rsidRDefault="00966FFF" w:rsidP="001E60E4"/>
    <w:p w14:paraId="05EE2A04" w14:textId="7DB26972" w:rsidR="00201897" w:rsidRDefault="00201897" w:rsidP="001E60E4">
      <w:r>
        <w:rPr>
          <w:noProof/>
        </w:rPr>
        <w:drawing>
          <wp:inline distT="0" distB="0" distL="0" distR="0" wp14:anchorId="7265EB76" wp14:editId="2DA3DBBC">
            <wp:extent cx="2257200" cy="5256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7200" cy="525600"/>
                    </a:xfrm>
                    <a:prstGeom prst="rect">
                      <a:avLst/>
                    </a:prstGeom>
                    <a:noFill/>
                  </pic:spPr>
                </pic:pic>
              </a:graphicData>
            </a:graphic>
          </wp:inline>
        </w:drawing>
      </w:r>
    </w:p>
    <w:p w14:paraId="3C7624D0" w14:textId="3ABC2BE5" w:rsidR="00201897" w:rsidRDefault="001C0132" w:rsidP="001C0132">
      <w:pPr>
        <w:pStyle w:val="Caption"/>
      </w:pPr>
      <w:bookmarkStart w:id="4" w:name="_Ref127362679"/>
      <w:r>
        <w:t xml:space="preserve">Figure </w:t>
      </w:r>
      <w:fldSimple w:instr=" SEQ Figure \* ARABIC ">
        <w:r w:rsidR="001D4ACC">
          <w:rPr>
            <w:noProof/>
          </w:rPr>
          <w:t>1</w:t>
        </w:r>
      </w:fldSimple>
      <w:bookmarkEnd w:id="4"/>
      <w:r>
        <w:t xml:space="preserve">: </w:t>
      </w:r>
      <w:r w:rsidR="00EF1842">
        <w:t>The</w:t>
      </w:r>
      <w:r>
        <w:t xml:space="preserve"> 4-step RACH procedure with </w:t>
      </w:r>
      <w:r w:rsidR="00C9648A">
        <w:t xml:space="preserve">maximum values </w:t>
      </w:r>
      <w:r w:rsidR="00237048">
        <w:t xml:space="preserve">of RAR window and contention resolution timer </w:t>
      </w:r>
    </w:p>
    <w:p w14:paraId="011C1925" w14:textId="3C3E0D87" w:rsidR="0095416B" w:rsidRDefault="0095416B" w:rsidP="001E60E4">
      <w:r>
        <w:rPr>
          <w:noProof/>
        </w:rPr>
        <w:drawing>
          <wp:inline distT="0" distB="0" distL="0" distR="0" wp14:anchorId="6F02EA0B" wp14:editId="3399D7EC">
            <wp:extent cx="6231600" cy="597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1600" cy="597600"/>
                    </a:xfrm>
                    <a:prstGeom prst="rect">
                      <a:avLst/>
                    </a:prstGeom>
                    <a:noFill/>
                  </pic:spPr>
                </pic:pic>
              </a:graphicData>
            </a:graphic>
          </wp:inline>
        </w:drawing>
      </w:r>
    </w:p>
    <w:p w14:paraId="0FBE3B23" w14:textId="7288530B" w:rsidR="00201897" w:rsidRDefault="0056715A" w:rsidP="0056715A">
      <w:pPr>
        <w:pStyle w:val="Caption"/>
      </w:pPr>
      <w:bookmarkStart w:id="5" w:name="_Ref127362668"/>
      <w:r>
        <w:t xml:space="preserve">Figure </w:t>
      </w:r>
      <w:fldSimple w:instr=" SEQ Figure \* ARABIC ">
        <w:r w:rsidR="001D4ACC">
          <w:rPr>
            <w:noProof/>
          </w:rPr>
          <w:t>2</w:t>
        </w:r>
      </w:fldSimple>
      <w:bookmarkEnd w:id="5"/>
      <w:r>
        <w:t xml:space="preserve">: </w:t>
      </w:r>
      <w:r w:rsidR="00952D6B">
        <w:t xml:space="preserve">SDT </w:t>
      </w:r>
      <w:r w:rsidR="00DB04A8">
        <w:t xml:space="preserve">procedure and </w:t>
      </w:r>
      <w:r w:rsidR="00692D1B">
        <w:t xml:space="preserve">a worst-case </w:t>
      </w:r>
      <w:r w:rsidR="00DB04A8">
        <w:t>timeline</w:t>
      </w:r>
    </w:p>
    <w:p w14:paraId="72556981" w14:textId="77777777" w:rsidR="006C7790" w:rsidRPr="006C7790" w:rsidRDefault="006C7790" w:rsidP="006C7790"/>
    <w:p w14:paraId="46C54D45" w14:textId="78F18175" w:rsidR="00F6460A" w:rsidRDefault="002F541B" w:rsidP="001E60E4">
      <w:r>
        <w:rPr>
          <w:rFonts w:hint="eastAsia"/>
        </w:rPr>
        <w:t>F</w:t>
      </w:r>
      <w:r>
        <w:t xml:space="preserve">urthermore, </w:t>
      </w:r>
      <w:r w:rsidR="00721D0D">
        <w:t xml:space="preserve">in our view, NCD-SSB should be extended to </w:t>
      </w:r>
      <w:r w:rsidR="0077589C">
        <w:t xml:space="preserve">SDT usage. From the network perspective, when it needs to </w:t>
      </w:r>
      <w:r w:rsidR="00041F09">
        <w:t>perform</w:t>
      </w:r>
      <w:r w:rsidR="0077589C">
        <w:t xml:space="preserve"> “load balancing” by allocating RedCap UEs to </w:t>
      </w:r>
      <w:r w:rsidR="00065DD9">
        <w:t xml:space="preserve">an initial BWP that does not contain CD-SSB, it </w:t>
      </w:r>
      <w:r w:rsidR="000E30F3">
        <w:t>implies</w:t>
      </w:r>
      <w:r w:rsidR="00065DD9">
        <w:t xml:space="preserve"> </w:t>
      </w:r>
      <w:r w:rsidR="00576B39">
        <w:t xml:space="preserve">there is a significant number </w:t>
      </w:r>
      <w:r w:rsidR="00065DD9">
        <w:t xml:space="preserve">of RedCap UEs </w:t>
      </w:r>
      <w:r w:rsidR="00576B39">
        <w:t>in the cell</w:t>
      </w:r>
      <w:r w:rsidR="00065DD9">
        <w:t>. In this case, it is very likely that there are some “baseline RedCap UEs” (i.e. UEs that don’t support FG28-1a) in RRC Connected mode. NCD-SSB is hence being transmitted anyway for connected RedCap UEs</w:t>
      </w:r>
      <w:r w:rsidR="009D3B61">
        <w:t>. It is hence not an add</w:t>
      </w:r>
      <w:r w:rsidR="00065DD9">
        <w:t xml:space="preserve">itional overhead </w:t>
      </w:r>
      <w:r w:rsidR="009D3B61">
        <w:t xml:space="preserve">for NW if NCD-SSB is configured </w:t>
      </w:r>
      <w:r w:rsidR="00065DD9">
        <w:t xml:space="preserve">for SDT usage. </w:t>
      </w:r>
    </w:p>
    <w:p w14:paraId="27DB452B" w14:textId="47A9F3F1" w:rsidR="006D36A6" w:rsidRDefault="00065DD9" w:rsidP="00065DD9">
      <w:pPr>
        <w:pStyle w:val="Caption"/>
      </w:pPr>
      <w:bookmarkStart w:id="6" w:name="_Ref127561976"/>
      <w:r>
        <w:t xml:space="preserve">Observation </w:t>
      </w:r>
      <w:fldSimple w:instr=" SEQ Observation \* ARABIC ">
        <w:r w:rsidR="00231010">
          <w:rPr>
            <w:noProof/>
          </w:rPr>
          <w:t>2</w:t>
        </w:r>
      </w:fldSimple>
      <w:r>
        <w:t xml:space="preserve">: </w:t>
      </w:r>
      <w:r w:rsidR="004E11E4">
        <w:t xml:space="preserve">When </w:t>
      </w:r>
      <w:r w:rsidR="00FB2B67">
        <w:t>a RedCap-specific initial BWP does not include</w:t>
      </w:r>
      <w:r w:rsidR="004E11E4">
        <w:t xml:space="preserve"> CD-SSB, </w:t>
      </w:r>
      <w:r>
        <w:t xml:space="preserve">NCD-SSB is </w:t>
      </w:r>
      <w:r w:rsidR="004E11E4">
        <w:t>likely to be transmitted anyway for connected UEs</w:t>
      </w:r>
      <w:r w:rsidR="00C020AC">
        <w:t>. H</w:t>
      </w:r>
      <w:r w:rsidR="004E11E4">
        <w:t>ence</w:t>
      </w:r>
      <w:r w:rsidR="00C020AC">
        <w:t>,</w:t>
      </w:r>
      <w:r w:rsidR="004E11E4">
        <w:t xml:space="preserve"> </w:t>
      </w:r>
      <w:r w:rsidR="00C020AC">
        <w:t xml:space="preserve">NCD-SSB </w:t>
      </w:r>
      <w:r w:rsidR="004E11E4">
        <w:t>can be shared with inactive UEs for performing SDT</w:t>
      </w:r>
      <w:r w:rsidR="00E63E36">
        <w:t xml:space="preserve"> without additional overhead to NW.</w:t>
      </w:r>
      <w:bookmarkEnd w:id="6"/>
      <w:r w:rsidR="00E63E36">
        <w:t xml:space="preserve"> </w:t>
      </w:r>
    </w:p>
    <w:p w14:paraId="186C57F4" w14:textId="49F2C821" w:rsidR="00691E45" w:rsidRDefault="004D3AEE" w:rsidP="004D3AEE">
      <w:pPr>
        <w:pStyle w:val="Caption"/>
      </w:pPr>
      <w:bookmarkStart w:id="7" w:name="_Ref127562039"/>
      <w:r>
        <w:t xml:space="preserve">Proposal </w:t>
      </w:r>
      <w:fldSimple w:instr=" SEQ Proposal \* ARABIC ">
        <w:r w:rsidR="00593AC7">
          <w:rPr>
            <w:noProof/>
          </w:rPr>
          <w:t>2</w:t>
        </w:r>
      </w:fldSimple>
      <w:r>
        <w:t xml:space="preserve">: NCD-SSB </w:t>
      </w:r>
      <w:r w:rsidR="00AE3689">
        <w:t>should</w:t>
      </w:r>
      <w:r>
        <w:t xml:space="preserve"> </w:t>
      </w:r>
      <w:r w:rsidR="00AE3689">
        <w:t xml:space="preserve">be </w:t>
      </w:r>
      <w:r>
        <w:t xml:space="preserve">configured </w:t>
      </w:r>
      <w:r w:rsidR="00B943BD">
        <w:t>to UEs to perform SDT</w:t>
      </w:r>
      <w:r w:rsidR="0023446F">
        <w:t xml:space="preserve"> including both </w:t>
      </w:r>
      <w:r w:rsidR="00B943BD">
        <w:t>RA-SDT and CG-SDT in an</w:t>
      </w:r>
      <w:r>
        <w:t xml:space="preserve"> initial BWP that does not include CD-SSB.</w:t>
      </w:r>
      <w:bookmarkEnd w:id="7"/>
      <w:r>
        <w:t xml:space="preserve"> </w:t>
      </w:r>
    </w:p>
    <w:p w14:paraId="263BFFD8" w14:textId="255ADC04" w:rsidR="00065DD9" w:rsidRDefault="00691E45" w:rsidP="00691E45">
      <w:pPr>
        <w:pStyle w:val="Caption"/>
        <w:numPr>
          <w:ilvl w:val="0"/>
          <w:numId w:val="31"/>
        </w:numPr>
      </w:pPr>
      <w:r>
        <w:t xml:space="preserve">Note: </w:t>
      </w:r>
      <w:r w:rsidR="00D6430B">
        <w:t xml:space="preserve">How to configure </w:t>
      </w:r>
      <w:r w:rsidR="009E4BD2">
        <w:t>NCD-SSB</w:t>
      </w:r>
      <w:r w:rsidR="00D6430B">
        <w:t xml:space="preserve"> </w:t>
      </w:r>
      <w:r>
        <w:t xml:space="preserve">is up to RAN2 </w:t>
      </w:r>
    </w:p>
    <w:p w14:paraId="2E90A942" w14:textId="7EBA15D9" w:rsidR="004D3AEE" w:rsidRDefault="004D3AEE" w:rsidP="004D3AEE"/>
    <w:p w14:paraId="43E533F9" w14:textId="29DC388F" w:rsidR="004D3AEE" w:rsidRDefault="004D3AEE" w:rsidP="004D3AEE">
      <w:r>
        <w:rPr>
          <w:rFonts w:hint="eastAsia"/>
        </w:rPr>
        <w:t>T</w:t>
      </w:r>
      <w:r>
        <w:t xml:space="preserve">o </w:t>
      </w:r>
      <w:r w:rsidR="00405AE0">
        <w:t>make SDT work more efficient</w:t>
      </w:r>
      <w:r w:rsidR="00AF2703">
        <w:t>ly</w:t>
      </w:r>
      <w:r w:rsidR="00405AE0">
        <w:t xml:space="preserve">, we should </w:t>
      </w:r>
      <w:r>
        <w:t xml:space="preserve">avoid BWP switching </w:t>
      </w:r>
      <w:r w:rsidR="00852139">
        <w:t xml:space="preserve">during SDT procedure </w:t>
      </w:r>
      <w:r w:rsidR="00405AE0">
        <w:t xml:space="preserve">when it is performed </w:t>
      </w:r>
      <w:r w:rsidR="00852139">
        <w:t>in</w:t>
      </w:r>
      <w:r w:rsidR="00405AE0">
        <w:t xml:space="preserve"> a BWP without CD-SSB. </w:t>
      </w:r>
      <w:r w:rsidR="007C4633">
        <w:t xml:space="preserve">Based on current RAN2 agreements (from SDT session), UE is still required to monitor short messages (for SI update and PWS notification) during SDT. However, </w:t>
      </w:r>
      <w:r w:rsidR="005C4B1A">
        <w:t xml:space="preserve">this is in principle not aligned the agreements made in RedCap session for connected UEs. </w:t>
      </w:r>
    </w:p>
    <w:p w14:paraId="321D76D7" w14:textId="3AC924C5" w:rsidR="00AF2703" w:rsidRDefault="00AF2703" w:rsidP="00AF2703">
      <w:pPr>
        <w:pStyle w:val="Caption"/>
      </w:pPr>
      <w:bookmarkStart w:id="8" w:name="_Ref127562046"/>
      <w:r>
        <w:t xml:space="preserve">Proposal </w:t>
      </w:r>
      <w:fldSimple w:instr=" SEQ Proposal \* ARABIC ">
        <w:r w:rsidR="00593AC7">
          <w:rPr>
            <w:noProof/>
          </w:rPr>
          <w:t>3</w:t>
        </w:r>
      </w:fldSimple>
      <w:r>
        <w:t xml:space="preserve">: </w:t>
      </w:r>
      <w:r w:rsidR="00F66FAF">
        <w:t>UE is not required to monitor SI change indication d</w:t>
      </w:r>
      <w:r w:rsidR="00F66FAF" w:rsidRPr="00F66FAF">
        <w:t xml:space="preserve">uring </w:t>
      </w:r>
      <w:r w:rsidR="006D6AF9">
        <w:t xml:space="preserve">a </w:t>
      </w:r>
      <w:r w:rsidR="00F66FAF" w:rsidRPr="00F66FAF">
        <w:t xml:space="preserve">SDT procedure </w:t>
      </w:r>
      <w:r w:rsidR="00F66FAF">
        <w:t xml:space="preserve">on an initial BWP that does not </w:t>
      </w:r>
      <w:r w:rsidR="00736644">
        <w:t>contain</w:t>
      </w:r>
      <w:r w:rsidR="00F66FAF">
        <w:t xml:space="preserve"> </w:t>
      </w:r>
      <w:r w:rsidR="002369CE">
        <w:t xml:space="preserve">full </w:t>
      </w:r>
      <w:r w:rsidR="00F66FAF">
        <w:t>CD-SSB</w:t>
      </w:r>
      <w:r w:rsidR="002369CE">
        <w:t xml:space="preserve"> and CORESET#0. </w:t>
      </w:r>
      <w:r w:rsidR="000616CA">
        <w:t>Send LS to RAN2.</w:t>
      </w:r>
      <w:bookmarkEnd w:id="8"/>
      <w:r w:rsidR="000616CA">
        <w:t xml:space="preserve"> </w:t>
      </w:r>
    </w:p>
    <w:p w14:paraId="239D88AA" w14:textId="1FFCB951" w:rsidR="008471C2" w:rsidRPr="00CE3B28" w:rsidRDefault="006D6AF9" w:rsidP="00CE3B28">
      <w:pPr>
        <w:pStyle w:val="Caption"/>
      </w:pPr>
      <w:bookmarkStart w:id="9" w:name="_Ref127562054"/>
      <w:r>
        <w:lastRenderedPageBreak/>
        <w:t xml:space="preserve">Proposal </w:t>
      </w:r>
      <w:fldSimple w:instr=" SEQ Proposal \* ARABIC ">
        <w:r w:rsidR="00593AC7">
          <w:rPr>
            <w:noProof/>
          </w:rPr>
          <w:t>4</w:t>
        </w:r>
      </w:fldSimple>
      <w:r>
        <w:t xml:space="preserve">: </w:t>
      </w:r>
      <w:r w:rsidRPr="006D6AF9">
        <w:t>ETWS or CMAS capable UE</w:t>
      </w:r>
      <w:r>
        <w:t xml:space="preserve"> is not required to</w:t>
      </w:r>
      <w:r w:rsidRPr="006D6AF9">
        <w:t xml:space="preserve"> monitor PWS notification </w:t>
      </w:r>
      <w:r>
        <w:t xml:space="preserve">during a SDT procedure on an initial BWP that does not </w:t>
      </w:r>
      <w:r w:rsidR="00736644">
        <w:t>contain</w:t>
      </w:r>
      <w:r>
        <w:t xml:space="preserve"> </w:t>
      </w:r>
      <w:r w:rsidR="002369CE">
        <w:t xml:space="preserve">full </w:t>
      </w:r>
      <w:r>
        <w:t>CD-SSB and CORESET#0</w:t>
      </w:r>
      <w:r w:rsidRPr="006D6AF9">
        <w:t>.</w:t>
      </w:r>
      <w:r w:rsidR="00B62021">
        <w:t xml:space="preserve"> Send LS to RAN2.</w:t>
      </w:r>
      <w:bookmarkEnd w:id="9"/>
      <w:r w:rsidR="00B62021">
        <w:t xml:space="preserve"> </w:t>
      </w:r>
    </w:p>
    <w:p w14:paraId="542D7AEA" w14:textId="71D3F680" w:rsidR="008711C6" w:rsidRPr="00B36059" w:rsidRDefault="00D4281E" w:rsidP="00EE42E2">
      <w:pPr>
        <w:pStyle w:val="Heading1"/>
        <w:jc w:val="both"/>
        <w:rPr>
          <w:lang w:val="en-US"/>
        </w:rPr>
      </w:pPr>
      <w:r>
        <w:rPr>
          <w:lang w:val="en-US"/>
        </w:rPr>
        <w:t xml:space="preserve">PRACH </w:t>
      </w:r>
      <w:r w:rsidR="00B24CCA">
        <w:rPr>
          <w:lang w:val="en-US"/>
        </w:rPr>
        <w:t xml:space="preserve">and PUSCH </w:t>
      </w:r>
      <w:r w:rsidR="008D46A7">
        <w:rPr>
          <w:lang w:val="en-US"/>
        </w:rPr>
        <w:t>o</w:t>
      </w:r>
      <w:r w:rsidR="00B24CCA">
        <w:rPr>
          <w:lang w:val="en-US"/>
        </w:rPr>
        <w:t xml:space="preserve">ccasion </w:t>
      </w:r>
      <w:r w:rsidR="008D46A7">
        <w:rPr>
          <w:lang w:val="en-US"/>
        </w:rPr>
        <w:t>v</w:t>
      </w:r>
      <w:r w:rsidR="00B24CCA">
        <w:rPr>
          <w:lang w:val="en-US"/>
        </w:rPr>
        <w:t>alidation</w:t>
      </w:r>
    </w:p>
    <w:p w14:paraId="49355DBB" w14:textId="3D467CC6" w:rsidR="00BA7E41" w:rsidRDefault="00850382" w:rsidP="00EE42E2">
      <w:pPr>
        <w:rPr>
          <w:rFonts w:eastAsiaTheme="minorEastAsia"/>
        </w:rPr>
      </w:pPr>
      <w:r>
        <w:rPr>
          <w:rFonts w:eastAsiaTheme="minorEastAsia"/>
        </w:rPr>
        <w:t>Unlike legacy non-RedCap UEs, RedCap UEs can be configured with an initial DL BWP that does not include CD-SSB for RACH procedure in initial access/idle/inactive. In connected mode, f</w:t>
      </w:r>
      <w:r w:rsidR="005E04CF">
        <w:rPr>
          <w:rFonts w:eastAsiaTheme="minorEastAsia"/>
        </w:rPr>
        <w:t xml:space="preserve">or RedCap UEs that only support FG28-1 but not FG28-1a, </w:t>
      </w:r>
      <w:r w:rsidR="00BA7E41">
        <w:rPr>
          <w:rFonts w:eastAsiaTheme="minorEastAsia" w:hint="eastAsia"/>
        </w:rPr>
        <w:t>N</w:t>
      </w:r>
      <w:r w:rsidR="00BA7E41">
        <w:rPr>
          <w:rFonts w:eastAsiaTheme="minorEastAsia"/>
        </w:rPr>
        <w:t xml:space="preserve">CD-SSB </w:t>
      </w:r>
      <w:r w:rsidR="001C367F">
        <w:rPr>
          <w:rFonts w:eastAsiaTheme="minorEastAsia"/>
        </w:rPr>
        <w:t>can be configured for RedCap UEs</w:t>
      </w:r>
      <w:r w:rsidR="002E2D71">
        <w:rPr>
          <w:rFonts w:eastAsiaTheme="minorEastAsia"/>
        </w:rPr>
        <w:t xml:space="preserve"> via </w:t>
      </w:r>
      <w:r w:rsidR="000457DE">
        <w:rPr>
          <w:rFonts w:eastAsiaTheme="minorEastAsia"/>
        </w:rPr>
        <w:t>UE-specific</w:t>
      </w:r>
      <w:r w:rsidR="002E2D71">
        <w:rPr>
          <w:rFonts w:eastAsiaTheme="minorEastAsia"/>
        </w:rPr>
        <w:t xml:space="preserve"> BWP configuration</w:t>
      </w:r>
      <w:r w:rsidR="001C367F">
        <w:rPr>
          <w:rFonts w:eastAsiaTheme="minorEastAsia"/>
        </w:rPr>
        <w:t xml:space="preserve">. </w:t>
      </w:r>
      <w:r>
        <w:rPr>
          <w:rFonts w:eastAsiaTheme="minorEastAsia"/>
        </w:rPr>
        <w:t xml:space="preserve">On the other hand, for UEs that support FG28-1a, BWPs without any SSBs can be configured. Furthermore, </w:t>
      </w:r>
      <w:r w:rsidR="001C367F">
        <w:rPr>
          <w:rFonts w:eastAsiaTheme="minorEastAsia"/>
        </w:rPr>
        <w:t>non-zero time offsets between NCD-SSB and CD-SSB are also agreed</w:t>
      </w:r>
      <w:r w:rsidR="008F5415">
        <w:rPr>
          <w:rFonts w:eastAsiaTheme="minorEastAsia"/>
        </w:rPr>
        <w:t xml:space="preserve"> which may lead to the fact that NCD-SSB may collide with a different set of PRACH (PUSCH) occasions from the set that CD-SSB collide</w:t>
      </w:r>
      <w:r w:rsidR="003F3800">
        <w:rPr>
          <w:rFonts w:eastAsiaTheme="minorEastAsia"/>
        </w:rPr>
        <w:t>s</w:t>
      </w:r>
      <w:r w:rsidR="008F5415">
        <w:rPr>
          <w:rFonts w:eastAsiaTheme="minorEastAsia"/>
        </w:rPr>
        <w:t xml:space="preserve">. </w:t>
      </w:r>
    </w:p>
    <w:p w14:paraId="7D8B1A60" w14:textId="46BE3095" w:rsidR="00717C24" w:rsidRDefault="00246632" w:rsidP="00EE42E2">
      <w:pPr>
        <w:rPr>
          <w:rFonts w:eastAsiaTheme="minorEastAsia"/>
        </w:rPr>
      </w:pPr>
      <w:r>
        <w:rPr>
          <w:rFonts w:eastAsiaTheme="minorEastAsia" w:hint="eastAsia"/>
        </w:rPr>
        <w:t>I</w:t>
      </w:r>
      <w:r>
        <w:rPr>
          <w:rFonts w:eastAsiaTheme="minorEastAsia"/>
        </w:rPr>
        <w:t xml:space="preserve">n Clause 8.1 of TS38.213, </w:t>
      </w:r>
      <w:r w:rsidR="000B3828">
        <w:rPr>
          <w:rFonts w:eastAsiaTheme="minorEastAsia"/>
        </w:rPr>
        <w:t xml:space="preserve">the PRACH occasion validation rules are defined as follows for TDD. </w:t>
      </w:r>
      <w:r w:rsidR="00856849">
        <w:rPr>
          <w:rFonts w:eastAsiaTheme="minorEastAsia"/>
        </w:rPr>
        <w:t xml:space="preserve">In the text highlighted in green, </w:t>
      </w:r>
      <w:r w:rsidR="00EC2E13">
        <w:rPr>
          <w:rFonts w:eastAsiaTheme="minorEastAsia"/>
        </w:rPr>
        <w:t xml:space="preserve">only the </w:t>
      </w:r>
      <w:r w:rsidR="00EC2E13" w:rsidRPr="00EC2E13">
        <w:rPr>
          <w:rFonts w:eastAsiaTheme="minorEastAsia"/>
          <w:i/>
          <w:iCs/>
        </w:rPr>
        <w:t>time-domain</w:t>
      </w:r>
      <w:r w:rsidR="00EC2E13">
        <w:rPr>
          <w:rFonts w:eastAsiaTheme="minorEastAsia"/>
        </w:rPr>
        <w:t xml:space="preserve"> aspect is specified for </w:t>
      </w:r>
      <w:r w:rsidR="008D0AF7">
        <w:rPr>
          <w:rFonts w:eastAsiaTheme="minorEastAsia"/>
        </w:rPr>
        <w:t xml:space="preserve">the </w:t>
      </w:r>
      <w:r w:rsidR="00CA7D06">
        <w:rPr>
          <w:rFonts w:eastAsiaTheme="minorEastAsia"/>
        </w:rPr>
        <w:t xml:space="preserve">mentioned </w:t>
      </w:r>
      <w:r w:rsidR="008D0AF7">
        <w:rPr>
          <w:rFonts w:eastAsiaTheme="minorEastAsia"/>
        </w:rPr>
        <w:t>SS/PBCH</w:t>
      </w:r>
      <w:r w:rsidR="00FF20F2">
        <w:rPr>
          <w:rFonts w:eastAsiaTheme="minorEastAsia"/>
        </w:rPr>
        <w:t xml:space="preserve"> blocks</w:t>
      </w:r>
      <w:r w:rsidR="00EC2E13">
        <w:rPr>
          <w:rFonts w:eastAsiaTheme="minorEastAsia"/>
        </w:rPr>
        <w:t xml:space="preserve">. </w:t>
      </w:r>
      <w:r w:rsidR="00A14A30">
        <w:rPr>
          <w:rFonts w:eastAsiaTheme="minorEastAsia"/>
        </w:rPr>
        <w:t xml:space="preserve">The frequency-domain aspect is not specified </w:t>
      </w:r>
      <w:r w:rsidR="00CA7D06">
        <w:rPr>
          <w:rFonts w:eastAsiaTheme="minorEastAsia"/>
        </w:rPr>
        <w:t xml:space="preserve">for the mentioned SS/PBCH. </w:t>
      </w:r>
      <w:r w:rsidR="00717C24">
        <w:rPr>
          <w:rFonts w:eastAsiaTheme="minorEastAsia"/>
        </w:rPr>
        <w:t xml:space="preserve">The text highlighted in yellow clarifies the SSB indices of the mentioned SS/PBCH blocks. However, NCD-SSBs share the same indices as the CD-SSBs in the cell. Therefore, this sentence does not clarify the frequency aspect of the mentioned SSBs, either. </w:t>
      </w:r>
    </w:p>
    <w:p w14:paraId="27256D3E" w14:textId="52831FE7" w:rsidR="001A3BAB" w:rsidRDefault="00F15425" w:rsidP="00EE42E2">
      <w:pPr>
        <w:rPr>
          <w:rFonts w:eastAsiaTheme="minorEastAsia"/>
        </w:rPr>
      </w:pPr>
      <w:r>
        <w:rPr>
          <w:rFonts w:eastAsiaTheme="minorEastAsia"/>
        </w:rPr>
        <w:t>Even with the paragraph in Clause 17.1 of TS38.213 as shown below</w:t>
      </w:r>
      <w:r w:rsidR="007B13F4">
        <w:rPr>
          <w:rFonts w:eastAsiaTheme="minorEastAsia"/>
        </w:rPr>
        <w:t xml:space="preserve">, it is not clear </w:t>
      </w:r>
      <w:r>
        <w:rPr>
          <w:rFonts w:eastAsiaTheme="minorEastAsia"/>
        </w:rPr>
        <w:t xml:space="preserve">to us </w:t>
      </w:r>
      <w:r w:rsidR="007B13F4">
        <w:rPr>
          <w:rFonts w:eastAsiaTheme="minorEastAsia"/>
        </w:rPr>
        <w:t xml:space="preserve">whether </w:t>
      </w:r>
      <w:r w:rsidR="005B7BD4">
        <w:rPr>
          <w:rFonts w:eastAsiaTheme="minorEastAsia"/>
        </w:rPr>
        <w:t xml:space="preserve">the mentioned SS/PBCH </w:t>
      </w:r>
      <w:r w:rsidR="00E4472F">
        <w:rPr>
          <w:rFonts w:eastAsiaTheme="minorEastAsia"/>
        </w:rPr>
        <w:t xml:space="preserve">blocks only include the SSBs configured in the DL BWP that is associated with the UL BWP where PRACH occasions are configured, or they include as well as the SSBs outside of the DL BWP. </w:t>
      </w:r>
      <w:r w:rsidR="00A02F1E">
        <w:rPr>
          <w:rFonts w:eastAsiaTheme="minorEastAsia"/>
        </w:rPr>
        <w:t xml:space="preserve">Moreover, </w:t>
      </w:r>
      <w:r w:rsidR="003B6AB0">
        <w:rPr>
          <w:rFonts w:eastAsiaTheme="minorEastAsia"/>
        </w:rPr>
        <w:t xml:space="preserve">it </w:t>
      </w:r>
      <w:r w:rsidR="00B23765">
        <w:rPr>
          <w:rFonts w:eastAsiaTheme="minorEastAsia"/>
        </w:rPr>
        <w:t xml:space="preserve">is also not clear whether UE should apply any SSB for PRACH occasion validation when it is in a BWP without SSB being configured to the UE. </w:t>
      </w:r>
      <w:r w:rsidR="007E286F">
        <w:rPr>
          <w:rFonts w:eastAsiaTheme="minorEastAsia"/>
        </w:rPr>
        <w:t xml:space="preserve"> </w:t>
      </w:r>
    </w:p>
    <w:p w14:paraId="532FF135" w14:textId="4C4167DE" w:rsidR="00A002B5" w:rsidRDefault="00A002B5" w:rsidP="00A002B5">
      <w:pPr>
        <w:pStyle w:val="Caption"/>
      </w:pPr>
      <w:bookmarkStart w:id="10" w:name="_Ref127561983"/>
      <w:r>
        <w:t xml:space="preserve">Observation </w:t>
      </w:r>
      <w:r w:rsidR="00A007B2">
        <w:fldChar w:fldCharType="begin"/>
      </w:r>
      <w:r w:rsidR="00A007B2">
        <w:instrText xml:space="preserve"> SEQ Observation \* ARABIC </w:instrText>
      </w:r>
      <w:r w:rsidR="00A007B2">
        <w:fldChar w:fldCharType="separate"/>
      </w:r>
      <w:r w:rsidR="00231010">
        <w:rPr>
          <w:noProof/>
        </w:rPr>
        <w:t>3</w:t>
      </w:r>
      <w:r w:rsidR="00A007B2">
        <w:rPr>
          <w:noProof/>
        </w:rPr>
        <w:fldChar w:fldCharType="end"/>
      </w:r>
      <w:r>
        <w:t xml:space="preserve">: It is not clear whether UE should apply SSBs in the current BWP or all SSBs across all configured BWPs in the cell for </w:t>
      </w:r>
      <w:r w:rsidR="00C81176">
        <w:t>PRACH/PUCCH occasion validation.</w:t>
      </w:r>
      <w:bookmarkEnd w:id="10"/>
      <w:r w:rsidR="00C81176">
        <w:t xml:space="preserve"> </w:t>
      </w:r>
    </w:p>
    <w:p w14:paraId="5EF6F12F" w14:textId="5E667A77" w:rsidR="00E6764E" w:rsidRDefault="00E6764E" w:rsidP="00AB121D">
      <w:pPr>
        <w:pStyle w:val="Caption"/>
      </w:pPr>
      <w:bookmarkStart w:id="11" w:name="_Ref127562060"/>
      <w:r>
        <w:t xml:space="preserve">Proposal </w:t>
      </w:r>
      <w:r w:rsidR="00A007B2">
        <w:fldChar w:fldCharType="begin"/>
      </w:r>
      <w:r w:rsidR="00A007B2">
        <w:instrText xml:space="preserve"> SEQ Proposal \* ARABIC </w:instrText>
      </w:r>
      <w:r w:rsidR="00A007B2">
        <w:fldChar w:fldCharType="separate"/>
      </w:r>
      <w:r w:rsidR="00593AC7">
        <w:rPr>
          <w:noProof/>
        </w:rPr>
        <w:t>5</w:t>
      </w:r>
      <w:r w:rsidR="00A007B2">
        <w:rPr>
          <w:noProof/>
        </w:rPr>
        <w:fldChar w:fldCharType="end"/>
      </w:r>
      <w:r>
        <w:t xml:space="preserve">: </w:t>
      </w:r>
      <w:r w:rsidRPr="00E6764E">
        <w:t xml:space="preserve">RAN1 should discuss and clarify whether/which SSBs </w:t>
      </w:r>
      <w:r w:rsidR="006979E3">
        <w:t xml:space="preserve">for UE </w:t>
      </w:r>
      <w:r w:rsidRPr="00E6764E">
        <w:t xml:space="preserve">to apply for PRACH/PUSCH occasion validation in TDD </w:t>
      </w:r>
      <w:r w:rsidR="006979E3">
        <w:t>in the following cases:</w:t>
      </w:r>
      <w:bookmarkEnd w:id="11"/>
    </w:p>
    <w:p w14:paraId="536FA627" w14:textId="77777777" w:rsidR="006979E3" w:rsidRPr="00A62D64" w:rsidRDefault="006979E3" w:rsidP="006979E3">
      <w:pPr>
        <w:pStyle w:val="ListParagraph"/>
        <w:numPr>
          <w:ilvl w:val="0"/>
          <w:numId w:val="33"/>
        </w:numPr>
        <w:ind w:firstLineChars="0"/>
        <w:rPr>
          <w:rFonts w:eastAsiaTheme="minorEastAsia"/>
          <w:b/>
          <w:bCs/>
          <w:sz w:val="20"/>
          <w:szCs w:val="20"/>
        </w:rPr>
      </w:pPr>
      <w:r w:rsidRPr="00A62D64">
        <w:rPr>
          <w:rFonts w:eastAsiaTheme="minorEastAsia"/>
          <w:b/>
          <w:bCs/>
          <w:sz w:val="20"/>
          <w:szCs w:val="20"/>
          <w:lang w:eastAsia="zh-TW"/>
        </w:rPr>
        <w:t>Case 1: UE not configured with any SSB in a BWP</w:t>
      </w:r>
    </w:p>
    <w:p w14:paraId="7D4608B2" w14:textId="77777777" w:rsidR="006979E3" w:rsidRPr="00A62D64" w:rsidRDefault="006979E3" w:rsidP="006979E3">
      <w:pPr>
        <w:pStyle w:val="ListParagraph"/>
        <w:numPr>
          <w:ilvl w:val="0"/>
          <w:numId w:val="33"/>
        </w:numPr>
        <w:ind w:firstLineChars="0"/>
        <w:rPr>
          <w:rFonts w:eastAsiaTheme="minorEastAsia"/>
          <w:b/>
          <w:bCs/>
          <w:sz w:val="20"/>
          <w:szCs w:val="20"/>
        </w:rPr>
      </w:pPr>
      <w:r w:rsidRPr="00A62D64">
        <w:rPr>
          <w:rFonts w:eastAsiaTheme="minorEastAsia"/>
          <w:b/>
          <w:bCs/>
          <w:sz w:val="20"/>
          <w:szCs w:val="20"/>
          <w:lang w:eastAsia="zh-TW"/>
        </w:rPr>
        <w:t>Case 2: UE configured NCD-SSB in a BWP</w:t>
      </w:r>
    </w:p>
    <w:p w14:paraId="23260A00" w14:textId="77777777" w:rsidR="006979E3" w:rsidRPr="006979E3" w:rsidRDefault="006979E3" w:rsidP="006979E3"/>
    <w:tbl>
      <w:tblPr>
        <w:tblStyle w:val="TableGrid"/>
        <w:tblW w:w="0" w:type="auto"/>
        <w:tblLook w:val="04A0" w:firstRow="1" w:lastRow="0" w:firstColumn="1" w:lastColumn="0" w:noHBand="0" w:noVBand="1"/>
      </w:tblPr>
      <w:tblGrid>
        <w:gridCol w:w="9631"/>
      </w:tblGrid>
      <w:tr w:rsidR="001A3BAB" w:rsidRPr="00AC2C96" w14:paraId="710C876D" w14:textId="77777777" w:rsidTr="001A3BAB">
        <w:tc>
          <w:tcPr>
            <w:tcW w:w="9631" w:type="dxa"/>
          </w:tcPr>
          <w:p w14:paraId="10B966EB" w14:textId="368EF338" w:rsidR="00717C24" w:rsidRPr="008F46CE" w:rsidRDefault="00717C24" w:rsidP="001A3BAB">
            <w:pPr>
              <w:rPr>
                <w:rFonts w:ascii="Times New Roman" w:hAnsi="Times New Roman"/>
                <w:i/>
                <w:iCs/>
              </w:rPr>
            </w:pPr>
            <w:r w:rsidRPr="008F46CE">
              <w:rPr>
                <w:rFonts w:ascii="Times New Roman" w:hAnsi="Times New Roman"/>
                <w:i/>
                <w:iCs/>
              </w:rPr>
              <w:t>[Clause 8.1 of TS38.213]</w:t>
            </w:r>
          </w:p>
          <w:p w14:paraId="05D8E32F" w14:textId="2F0C94E8" w:rsidR="001A3BAB" w:rsidRPr="00AC2C96" w:rsidRDefault="001A3BAB" w:rsidP="001A3BAB">
            <w:pPr>
              <w:rPr>
                <w:rFonts w:ascii="Times New Roman" w:hAnsi="Times New Roman"/>
              </w:rPr>
            </w:pPr>
            <w:r w:rsidRPr="00AC2C96">
              <w:rPr>
                <w:rFonts w:ascii="Times New Roman" w:hAnsi="Times New Roman"/>
              </w:rPr>
              <w:t xml:space="preserve">For unpaired spectrum, </w:t>
            </w:r>
          </w:p>
          <w:p w14:paraId="6C90437C" w14:textId="77777777" w:rsidR="001A3BAB" w:rsidRPr="00AC2C96" w:rsidRDefault="001A3BAB" w:rsidP="001A3BAB">
            <w:pPr>
              <w:pStyle w:val="B1"/>
              <w:rPr>
                <w:rFonts w:ascii="Times New Roman" w:hAnsi="Times New Roman"/>
              </w:rPr>
            </w:pPr>
            <w:r w:rsidRPr="00AC2C96">
              <w:rPr>
                <w:rFonts w:ascii="Times New Roman" w:hAnsi="Times New Roman"/>
              </w:rPr>
              <w:t>-</w:t>
            </w:r>
            <w:r w:rsidRPr="00AC2C96">
              <w:rPr>
                <w:rFonts w:ascii="Times New Roman" w:hAnsi="Times New Roman"/>
              </w:rPr>
              <w:tab/>
              <w:t xml:space="preserve">if a UE is not provided </w:t>
            </w:r>
            <w:r w:rsidRPr="00AC2C96">
              <w:rPr>
                <w:rFonts w:ascii="Times New Roman" w:hAnsi="Times New Roman"/>
                <w:i/>
              </w:rPr>
              <w:t>tdd-UL-DL-ConfigurationCommon</w:t>
            </w:r>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w:t>
            </w:r>
            <w:r w:rsidRPr="005412F7">
              <w:rPr>
                <w:rFonts w:ascii="Times New Roman" w:hAnsi="Times New Roman"/>
                <w:highlight w:val="green"/>
              </w:rPr>
              <w:t xml:space="preserve">if it does not precede a SS/PBCH block in the PRACH slot and starts at least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w:t>
            </w:r>
            <w:r w:rsidRPr="005412F7">
              <w:rPr>
                <w:rFonts w:ascii="Times New Roman" w:hAnsi="Times New Roman"/>
                <w:highlight w:val="green"/>
                <w:lang w:val="en-US"/>
              </w:rPr>
              <w:t xml:space="preserve">reception </w:t>
            </w:r>
            <w:r w:rsidRPr="005412F7">
              <w:rPr>
                <w:rFonts w:ascii="Times New Roman" w:hAnsi="Times New Roman"/>
                <w:highlight w:val="green"/>
              </w:rPr>
              <w:t>symbol</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8.1-2</w:t>
            </w:r>
            <w:r w:rsidRPr="00AC2C96">
              <w:rPr>
                <w:rFonts w:ascii="Times New Roman" w:hAnsi="Times New Roman"/>
                <w:lang w:val="en-US"/>
              </w:rPr>
              <w:t xml:space="preserve"> and, </w:t>
            </w:r>
            <w:r w:rsidRPr="00AC2C96">
              <w:rPr>
                <w:rFonts w:ascii="Times New Roman" w:hAnsi="Times New Roman"/>
              </w:rPr>
              <w:t xml:space="preserve">if </w:t>
            </w:r>
            <w:r w:rsidRPr="00AC2C96">
              <w:rPr>
                <w:rFonts w:ascii="Times New Roman" w:hAnsi="Times New Roman"/>
                <w:i/>
                <w:iCs/>
                <w:lang w:val="en-US"/>
              </w:rPr>
              <w:t>c</w:t>
            </w:r>
            <w:r w:rsidRPr="00AC2C96">
              <w:rPr>
                <w:rFonts w:ascii="Times New Roman" w:hAnsi="Times New Roman"/>
                <w:i/>
                <w:iCs/>
              </w:rPr>
              <w:t>hannelAccess</w:t>
            </w:r>
            <w:r w:rsidRPr="00AC2C96">
              <w:rPr>
                <w:rFonts w:ascii="Times New Roman" w:hAnsi="Times New Roman"/>
                <w:i/>
                <w:iCs/>
                <w:lang w:eastAsia="zh-CN"/>
              </w:rPr>
              <w:t>Mode</w:t>
            </w:r>
            <w:r w:rsidRPr="00AC2C96">
              <w:rPr>
                <w:rFonts w:ascii="Times New Roman" w:hAnsi="Times New Roman"/>
              </w:rPr>
              <w:t xml:space="preserve"> = </w:t>
            </w:r>
            <w:r w:rsidRPr="00AC2C96">
              <w:rPr>
                <w:rFonts w:ascii="Times New Roman" w:hAnsi="Times New Roman"/>
                <w:lang w:val="en-GB"/>
              </w:rPr>
              <w:t>"</w:t>
            </w:r>
            <w:r w:rsidRPr="00AC2C96">
              <w:rPr>
                <w:rFonts w:ascii="Times New Roman" w:hAnsi="Times New Roman"/>
                <w:i/>
                <w:iCs/>
              </w:rPr>
              <w:t>semi</w:t>
            </w:r>
            <w:r w:rsidRPr="00AC2C96">
              <w:rPr>
                <w:rFonts w:ascii="Times New Roman" w:hAnsi="Times New Roman"/>
                <w:i/>
                <w:iCs/>
                <w:lang w:val="en-GB"/>
              </w:rPr>
              <w:t>S</w:t>
            </w:r>
            <w:r w:rsidRPr="00AC2C96">
              <w:rPr>
                <w:rFonts w:ascii="Times New Roman" w:hAnsi="Times New Roman"/>
                <w:i/>
                <w:iCs/>
              </w:rPr>
              <w:t>tatic</w:t>
            </w:r>
            <w:r w:rsidRPr="00AC2C96">
              <w:rPr>
                <w:rFonts w:ascii="Times New Roman" w:hAnsi="Times New Roman"/>
                <w:lang w:val="en-GB"/>
              </w:rPr>
              <w:t>"</w:t>
            </w:r>
            <w:r w:rsidRPr="00AC2C96">
              <w:rPr>
                <w:rFonts w:ascii="Times New Roman" w:hAnsi="Times New Roman"/>
              </w:rPr>
              <w:t xml:space="preserve"> is provided, does not overlap with a set of consecutive symbols before the start of a next channel occupancy time where </w:t>
            </w:r>
            <w:r w:rsidRPr="00AC2C96">
              <w:rPr>
                <w:rFonts w:ascii="Times New Roman" w:hAnsi="Times New Roman"/>
                <w:lang w:val="en-US"/>
              </w:rPr>
              <w:t>the UE does not</w:t>
            </w:r>
            <w:r w:rsidRPr="00AC2C96">
              <w:rPr>
                <w:rFonts w:ascii="Times New Roman" w:hAnsi="Times New Roman"/>
              </w:rPr>
              <w:t xml:space="preserve"> transmi</w:t>
            </w:r>
            <w:r w:rsidRPr="00AC2C96">
              <w:rPr>
                <w:rFonts w:ascii="Times New Roman" w:hAnsi="Times New Roman"/>
                <w:lang w:val="en-US"/>
              </w:rPr>
              <w:t>t</w:t>
            </w:r>
            <w:r w:rsidRPr="00AC2C96">
              <w:rPr>
                <w:rFonts w:ascii="Times New Roman" w:hAnsi="Times New Roman"/>
              </w:rPr>
              <w:t xml:space="preserve"> [15, TS 37.213].</w:t>
            </w:r>
          </w:p>
          <w:p w14:paraId="7579DBD6" w14:textId="77777777" w:rsidR="001A3BAB" w:rsidRPr="00AC2C96" w:rsidRDefault="001A3BAB" w:rsidP="001A3BAB">
            <w:pPr>
              <w:pStyle w:val="B2"/>
              <w:rPr>
                <w:rFonts w:ascii="Times New Roman" w:hAnsi="Times New Roman"/>
                <w:lang w:eastAsia="zh-CN"/>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yellow"/>
              </w:rPr>
              <w:t>the</w:t>
            </w:r>
            <w:r w:rsidRPr="005412F7">
              <w:rPr>
                <w:rFonts w:ascii="Times New Roman" w:eastAsia="MS Mincho" w:hAnsi="Times New Roman"/>
                <w:highlight w:val="yellow"/>
              </w:rPr>
              <w:t xml:space="preserve"> candidate SS/PBCH block</w:t>
            </w:r>
            <w:r w:rsidRPr="005412F7">
              <w:rPr>
                <w:rFonts w:ascii="Times New Roman" w:hAnsi="Times New Roman"/>
                <w:highlight w:val="yellow"/>
              </w:rPr>
              <w:t xml:space="preserve"> 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r w:rsidRPr="005412F7">
              <w:rPr>
                <w:rFonts w:ascii="Times New Roman" w:hAnsi="Times New Roman"/>
                <w:i/>
                <w:highlight w:val="yellow"/>
              </w:rPr>
              <w:t>ssb-PositionsInBurst</w:t>
            </w:r>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r w:rsidRPr="005412F7">
              <w:rPr>
                <w:rFonts w:ascii="Times New Roman" w:hAnsi="Times New Roman"/>
                <w:i/>
                <w:highlight w:val="yellow"/>
              </w:rPr>
              <w:t>ServingCellConfigCommon</w:t>
            </w:r>
            <w:r w:rsidRPr="005412F7">
              <w:rPr>
                <w:rFonts w:ascii="Times New Roman" w:hAnsi="Times New Roman"/>
                <w:highlight w:val="yellow"/>
                <w:lang w:eastAsia="zh-CN"/>
              </w:rPr>
              <w:t xml:space="preserve"> </w:t>
            </w:r>
            <w:r w:rsidRPr="005412F7">
              <w:rPr>
                <w:rFonts w:ascii="Times New Roman" w:hAnsi="Times New Roman"/>
                <w:highlight w:val="yellow"/>
                <w:lang w:val="en-US" w:eastAsia="zh-CN"/>
              </w:rPr>
              <w:t xml:space="preserve">, </w:t>
            </w:r>
            <w:r w:rsidRPr="005412F7">
              <w:rPr>
                <w:rFonts w:ascii="Times New Roman" w:eastAsia="MS Mincho" w:hAnsi="Times New Roman"/>
                <w:highlight w:val="yellow"/>
              </w:rPr>
              <w:t>as described in clause 4.1</w:t>
            </w:r>
          </w:p>
          <w:p w14:paraId="5EF3A13E" w14:textId="77777777" w:rsidR="001A3BAB" w:rsidRPr="00AC2C96" w:rsidRDefault="001A3BAB" w:rsidP="001A3BAB">
            <w:pPr>
              <w:pStyle w:val="B1"/>
              <w:rPr>
                <w:rFonts w:ascii="Times New Roman" w:hAnsi="Times New Roman"/>
              </w:rPr>
            </w:pPr>
            <w:r w:rsidRPr="00AC2C96">
              <w:rPr>
                <w:rFonts w:ascii="Times New Roman" w:hAnsi="Times New Roman"/>
                <w:lang w:eastAsia="zh-CN"/>
              </w:rPr>
              <w:t>-</w:t>
            </w:r>
            <w:r w:rsidRPr="00AC2C96">
              <w:rPr>
                <w:rFonts w:ascii="Times New Roman" w:hAnsi="Times New Roman"/>
                <w:lang w:eastAsia="zh-CN"/>
              </w:rPr>
              <w:tab/>
              <w:t xml:space="preserve">If a UE is provided </w:t>
            </w:r>
            <w:r w:rsidRPr="00AC2C96">
              <w:rPr>
                <w:rFonts w:ascii="Times New Roman" w:hAnsi="Times New Roman"/>
                <w:i/>
                <w:lang w:val="en-US"/>
              </w:rPr>
              <w:t>tdd-</w:t>
            </w:r>
            <w:r w:rsidRPr="00AC2C96">
              <w:rPr>
                <w:rFonts w:ascii="Times New Roman" w:hAnsi="Times New Roman"/>
                <w:i/>
              </w:rPr>
              <w:t>UL-DL-</w:t>
            </w:r>
            <w:r w:rsidRPr="00AC2C96">
              <w:rPr>
                <w:rFonts w:ascii="Times New Roman" w:hAnsi="Times New Roman"/>
                <w:i/>
                <w:lang w:val="en-US"/>
              </w:rPr>
              <w:t>ConfigurationCommon</w:t>
            </w:r>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if </w:t>
            </w:r>
          </w:p>
          <w:p w14:paraId="437DB525" w14:textId="77777777" w:rsidR="001A3BAB" w:rsidRPr="00AC2C96" w:rsidRDefault="001A3BAB" w:rsidP="001A3BAB">
            <w:pPr>
              <w:pStyle w:val="B2"/>
              <w:rPr>
                <w:rFonts w:ascii="Times New Roman" w:hAnsi="Times New Roman"/>
              </w:rPr>
            </w:pPr>
            <w:r w:rsidRPr="00AC2C96">
              <w:rPr>
                <w:rFonts w:ascii="Times New Roman" w:hAnsi="Times New Roman"/>
              </w:rPr>
              <w:t>-</w:t>
            </w:r>
            <w:r w:rsidRPr="00AC2C96">
              <w:rPr>
                <w:rFonts w:ascii="Times New Roman" w:hAnsi="Times New Roman"/>
              </w:rPr>
              <w:tab/>
              <w:t>it is within UL symbols</w:t>
            </w:r>
            <w:r w:rsidRPr="00AC2C96">
              <w:rPr>
                <w:rFonts w:ascii="Times New Roman" w:hAnsi="Times New Roman"/>
                <w:lang w:val="en-US"/>
              </w:rPr>
              <w:t xml:space="preserve">, </w:t>
            </w:r>
            <w:r w:rsidRPr="00AC2C96">
              <w:rPr>
                <w:rFonts w:ascii="Times New Roman" w:hAnsi="Times New Roman"/>
              </w:rPr>
              <w:t xml:space="preserve">or </w:t>
            </w:r>
          </w:p>
          <w:p w14:paraId="489B1C51" w14:textId="77777777" w:rsidR="001A3BAB" w:rsidRPr="00AC2C96" w:rsidRDefault="001A3BAB" w:rsidP="001A3BAB">
            <w:pPr>
              <w:pStyle w:val="B2"/>
              <w:rPr>
                <w:rFonts w:ascii="Times New Roman" w:hAnsi="Times New Roman"/>
                <w:i/>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green"/>
                <w:lang w:val="en-US"/>
              </w:rPr>
              <w:t xml:space="preserve">it does not precede a SS/PBCH block in the PRACH slot and </w:t>
            </w:r>
            <w:r w:rsidRPr="005412F7">
              <w:rPr>
                <w:rFonts w:ascii="Times New Roman" w:hAnsi="Times New Roman"/>
                <w:highlight w:val="green"/>
              </w:rPr>
              <w:t>starts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downlink symbol and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symbol</w:t>
            </w:r>
            <w:r w:rsidRPr="00AC2C96">
              <w:rPr>
                <w:rFonts w:ascii="Times New Roman" w:hAnsi="Times New Roman"/>
                <w:lang w:val="en-US"/>
              </w:rPr>
              <w:t>,</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w:t>
            </w:r>
            <w:r w:rsidRPr="00AC2C96">
              <w:rPr>
                <w:rFonts w:ascii="Times New Roman" w:hAnsi="Times New Roman"/>
                <w:lang w:val="en-US"/>
              </w:rPr>
              <w:t>1</w:t>
            </w:r>
            <w:r w:rsidRPr="00AC2C96">
              <w:rPr>
                <w:rFonts w:ascii="Times New Roman" w:hAnsi="Times New Roman"/>
              </w:rPr>
              <w:t>-2</w:t>
            </w:r>
            <w:r w:rsidRPr="00AC2C96">
              <w:rPr>
                <w:rFonts w:ascii="Times New Roman" w:hAnsi="Times New Roman"/>
                <w:lang w:val="en-US"/>
              </w:rPr>
              <w:t xml:space="preserve">, </w:t>
            </w:r>
            <w:r w:rsidRPr="00AC2C96">
              <w:rPr>
                <w:rFonts w:ascii="Times New Roman" w:hAnsi="Times New Roman"/>
              </w:rPr>
              <w:t xml:space="preserve">and if </w:t>
            </w:r>
            <w:r w:rsidRPr="00AC2C96">
              <w:rPr>
                <w:rFonts w:ascii="Times New Roman" w:hAnsi="Times New Roman"/>
                <w:i/>
                <w:lang w:val="en-US"/>
              </w:rPr>
              <w:t>c</w:t>
            </w:r>
            <w:r w:rsidRPr="00AC2C96">
              <w:rPr>
                <w:rFonts w:ascii="Times New Roman" w:hAnsi="Times New Roman"/>
                <w:i/>
              </w:rPr>
              <w:t>hannelAccess</w:t>
            </w:r>
            <w:r w:rsidRPr="00AC2C96">
              <w:rPr>
                <w:rFonts w:ascii="Times New Roman" w:hAnsi="Times New Roman"/>
                <w:i/>
                <w:lang w:val="en-US"/>
              </w:rPr>
              <w:t>Mode</w:t>
            </w:r>
            <w:r w:rsidRPr="00AC2C96">
              <w:rPr>
                <w:rFonts w:ascii="Times New Roman" w:hAnsi="Times New Roman"/>
              </w:rPr>
              <w:t xml:space="preserve"> = "</w:t>
            </w:r>
            <w:r w:rsidRPr="00AC2C96">
              <w:rPr>
                <w:rFonts w:ascii="Times New Roman" w:hAnsi="Times New Roman"/>
                <w:i/>
              </w:rPr>
              <w:t>semiStatic</w:t>
            </w:r>
            <w:r w:rsidRPr="00AC2C96">
              <w:rPr>
                <w:rFonts w:ascii="Times New Roman" w:hAnsi="Times New Roman"/>
                <w:iCs/>
              </w:rPr>
              <w:t xml:space="preserve">" </w:t>
            </w:r>
            <w:r w:rsidRPr="00AC2C96">
              <w:rPr>
                <w:rFonts w:ascii="Times New Roman" w:hAnsi="Times New Roman"/>
              </w:rPr>
              <w:t>is provided, does not overlap with a set of consecutive symbols before the start of a next channel occupancy time where there shall not be any transmissions, as described in [15, TS 37.213]</w:t>
            </w:r>
          </w:p>
          <w:p w14:paraId="019A1B08" w14:textId="77777777" w:rsidR="001A3BAB" w:rsidRPr="00AC2C96" w:rsidRDefault="001A3BAB" w:rsidP="001A3BAB">
            <w:pPr>
              <w:pStyle w:val="B3"/>
              <w:rPr>
                <w:rFonts w:ascii="Times New Roman" w:hAnsi="Times New Roman"/>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yellow"/>
              </w:rPr>
              <w:t xml:space="preserve">the </w:t>
            </w:r>
            <w:r w:rsidRPr="005412F7">
              <w:rPr>
                <w:rFonts w:ascii="Times New Roman" w:eastAsia="MS Mincho" w:hAnsi="Times New Roman"/>
                <w:highlight w:val="yellow"/>
              </w:rPr>
              <w:t xml:space="preserve">candidate SS/PBCH block </w:t>
            </w:r>
            <w:r w:rsidRPr="005412F7">
              <w:rPr>
                <w:rFonts w:ascii="Times New Roman" w:hAnsi="Times New Roman"/>
                <w:highlight w:val="yellow"/>
              </w:rPr>
              <w:t xml:space="preserve">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r w:rsidRPr="005412F7">
              <w:rPr>
                <w:rFonts w:ascii="Times New Roman" w:hAnsi="Times New Roman"/>
                <w:i/>
                <w:highlight w:val="yellow"/>
              </w:rPr>
              <w:t>ssb-PositionsInBurst</w:t>
            </w:r>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r w:rsidRPr="005412F7">
              <w:rPr>
                <w:rFonts w:ascii="Times New Roman" w:hAnsi="Times New Roman"/>
                <w:i/>
                <w:highlight w:val="yellow"/>
              </w:rPr>
              <w:t>ServingCellConfigCommon</w:t>
            </w:r>
            <w:r w:rsidRPr="005412F7">
              <w:rPr>
                <w:rFonts w:ascii="Times New Roman" w:hAnsi="Times New Roman"/>
                <w:highlight w:val="yellow"/>
              </w:rPr>
              <w:t xml:space="preserve">, </w:t>
            </w:r>
            <w:r w:rsidRPr="005412F7">
              <w:rPr>
                <w:rFonts w:ascii="Times New Roman" w:eastAsia="MS Mincho" w:hAnsi="Times New Roman"/>
                <w:highlight w:val="yellow"/>
              </w:rPr>
              <w:t>as described in clause 4.1</w:t>
            </w:r>
            <w:r w:rsidRPr="00AC2C96">
              <w:rPr>
                <w:rFonts w:ascii="Times New Roman" w:hAnsi="Times New Roman"/>
              </w:rPr>
              <w:t xml:space="preserve">. </w:t>
            </w:r>
          </w:p>
          <w:p w14:paraId="1E42503A" w14:textId="100BBFF3" w:rsidR="001A3BAB" w:rsidRPr="00AC2C96" w:rsidRDefault="001A3BAB" w:rsidP="001A3BAB">
            <w:pPr>
              <w:rPr>
                <w:rFonts w:ascii="Times New Roman" w:eastAsiaTheme="minorEastAsia" w:hAnsi="Times New Roman"/>
              </w:rPr>
            </w:pPr>
            <w:r w:rsidRPr="00AC2C96">
              <w:rPr>
                <w:rFonts w:ascii="Times New Roman" w:hAnsi="Times New Roman"/>
              </w:rPr>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AC2C96">
              <w:rPr>
                <w:rFonts w:ascii="Times New Roman" w:hAnsi="Times New Roman"/>
              </w:rPr>
              <w:t>.</w:t>
            </w:r>
          </w:p>
        </w:tc>
      </w:tr>
    </w:tbl>
    <w:p w14:paraId="02274E97" w14:textId="2BD2B96D" w:rsidR="00BF4E56" w:rsidRDefault="00BF4E56" w:rsidP="00EE42E2">
      <w:pPr>
        <w:rPr>
          <w:rFonts w:eastAsiaTheme="minorEastAsia"/>
        </w:rPr>
      </w:pPr>
    </w:p>
    <w:tbl>
      <w:tblPr>
        <w:tblStyle w:val="TableGrid"/>
        <w:tblW w:w="0" w:type="auto"/>
        <w:tblLook w:val="04A0" w:firstRow="1" w:lastRow="0" w:firstColumn="1" w:lastColumn="0" w:noHBand="0" w:noVBand="1"/>
      </w:tblPr>
      <w:tblGrid>
        <w:gridCol w:w="9631"/>
      </w:tblGrid>
      <w:tr w:rsidR="004F43DD" w:rsidRPr="004F43DD" w14:paraId="158AC5BA" w14:textId="77777777" w:rsidTr="004F43DD">
        <w:tc>
          <w:tcPr>
            <w:tcW w:w="9631" w:type="dxa"/>
          </w:tcPr>
          <w:p w14:paraId="3E6E4666" w14:textId="02B50180" w:rsidR="004F43DD" w:rsidRPr="00682884" w:rsidRDefault="004F43DD" w:rsidP="004F43DD">
            <w:pPr>
              <w:rPr>
                <w:rFonts w:ascii="Times New Roman" w:eastAsia="SimSun" w:hAnsi="Times New Roman"/>
                <w:i/>
                <w:iCs/>
                <w:lang w:eastAsia="zh-CN"/>
              </w:rPr>
            </w:pPr>
            <w:r w:rsidRPr="00682884">
              <w:rPr>
                <w:rFonts w:ascii="Times New Roman" w:eastAsia="SimSun" w:hAnsi="Times New Roman" w:hint="eastAsia"/>
                <w:i/>
                <w:iCs/>
                <w:lang w:eastAsia="zh-CN"/>
              </w:rPr>
              <w:lastRenderedPageBreak/>
              <w:t>[</w:t>
            </w:r>
            <w:r w:rsidRPr="00682884">
              <w:rPr>
                <w:rFonts w:ascii="Times New Roman" w:eastAsia="SimSun" w:hAnsi="Times New Roman"/>
                <w:i/>
                <w:iCs/>
                <w:lang w:eastAsia="zh-CN"/>
              </w:rPr>
              <w:t>Clause 17.1 of TS38.213]</w:t>
            </w:r>
          </w:p>
          <w:p w14:paraId="0287245D" w14:textId="7507427F" w:rsidR="004F43DD" w:rsidRPr="004F43DD" w:rsidRDefault="004F43DD" w:rsidP="00EE42E2">
            <w:pPr>
              <w:rPr>
                <w:rFonts w:ascii="Times New Roman" w:eastAsia="SimSun" w:hAnsi="Times New Roman"/>
                <w:lang w:eastAsia="zh-CN"/>
              </w:rPr>
            </w:pPr>
            <w:r w:rsidRPr="004F43DD">
              <w:rPr>
                <w:rFonts w:ascii="Times New Roman" w:hAnsi="Times New Roman"/>
                <w:lang w:eastAsia="zh-CN"/>
              </w:rPr>
              <w:t xml:space="preserve">For a RedCap UE </w:t>
            </w:r>
            <w:r w:rsidRPr="004F43DD">
              <w:rPr>
                <w:rFonts w:ascii="Times New Roman" w:hAnsi="Times New Roman"/>
              </w:rPr>
              <w:t>indicated presence of SS/PBCH blocks within an active DL BWP by</w:t>
            </w:r>
            <w:r w:rsidRPr="004F43DD">
              <w:rPr>
                <w:rFonts w:ascii="Times New Roman" w:hAnsi="Times New Roman"/>
                <w:i/>
              </w:rPr>
              <w:t xml:space="preserve"> NonCellDefiningSSB</w:t>
            </w:r>
            <w:r w:rsidRPr="004F43DD">
              <w:rPr>
                <w:rFonts w:ascii="Times New Roman" w:hAnsi="Times New Roman"/>
                <w:lang w:eastAsia="zh-CN"/>
              </w:rPr>
              <w:t xml:space="preserve">, collision handling between downlink receptions or uplink transmissions and the SS/PBCH blocks are same as described for a UE </w:t>
            </w:r>
            <w:r w:rsidRPr="004F43DD">
              <w:rPr>
                <w:rFonts w:ascii="Times New Roman" w:hAnsi="Times New Roman"/>
              </w:rPr>
              <w:t>indicated presence of SS/PBCH blocks</w:t>
            </w:r>
            <w:r w:rsidRPr="004F43DD">
              <w:rPr>
                <w:rFonts w:ascii="Times New Roman" w:hAnsi="Times New Roman"/>
                <w:lang w:eastAsia="zh-CN"/>
              </w:rPr>
              <w:t xml:space="preserve"> by </w:t>
            </w:r>
            <w:r w:rsidRPr="004F43DD">
              <w:rPr>
                <w:rFonts w:ascii="Times New Roman" w:hAnsi="Times New Roman"/>
                <w:i/>
              </w:rPr>
              <w:t>ssb-PositionsInBurst</w:t>
            </w:r>
            <w:r w:rsidRPr="004F43DD">
              <w:rPr>
                <w:rFonts w:ascii="Times New Roman" w:hAnsi="Times New Roman"/>
              </w:rPr>
              <w:t xml:space="preserve"> in </w:t>
            </w:r>
            <w:r w:rsidRPr="004F43DD">
              <w:rPr>
                <w:rFonts w:ascii="Times New Roman" w:hAnsi="Times New Roman"/>
                <w:i/>
              </w:rPr>
              <w:t>SIB1</w:t>
            </w:r>
            <w:r w:rsidRPr="004F43DD">
              <w:rPr>
                <w:rFonts w:ascii="Times New Roman" w:hAnsi="Times New Roman"/>
              </w:rPr>
              <w:t xml:space="preserve"> or in </w:t>
            </w:r>
            <w:r w:rsidRPr="004F43DD">
              <w:rPr>
                <w:rFonts w:ascii="Times New Roman" w:hAnsi="Times New Roman"/>
                <w:i/>
              </w:rPr>
              <w:t>ServingCellConfigCommon</w:t>
            </w:r>
            <w:r w:rsidRPr="004F43DD">
              <w:rPr>
                <w:rFonts w:ascii="Times New Roman" w:hAnsi="Times New Roman"/>
              </w:rPr>
              <w:t xml:space="preserve"> </w:t>
            </w:r>
            <w:r w:rsidRPr="004F43DD">
              <w:rPr>
                <w:rFonts w:ascii="Times New Roman" w:hAnsi="Times New Roman"/>
                <w:lang w:eastAsia="zh-CN"/>
              </w:rPr>
              <w:t>described in all other clauses, unless otherwise stated.</w:t>
            </w:r>
          </w:p>
        </w:tc>
      </w:tr>
    </w:tbl>
    <w:p w14:paraId="4E20427E" w14:textId="77777777" w:rsidR="004F43DD" w:rsidRDefault="004F43DD" w:rsidP="00EE42E2">
      <w:pPr>
        <w:rPr>
          <w:rFonts w:eastAsiaTheme="minorEastAsia"/>
        </w:rPr>
      </w:pPr>
    </w:p>
    <w:p w14:paraId="4CEDD30C" w14:textId="39A45B72" w:rsidR="007359C3" w:rsidRDefault="001D4ACC" w:rsidP="00EE42E2">
      <w:pPr>
        <w:rPr>
          <w:rFonts w:eastAsiaTheme="minorEastAsia"/>
        </w:rPr>
      </w:pPr>
      <w:r>
        <w:rPr>
          <w:rFonts w:eastAsiaTheme="minorEastAsia" w:hint="eastAsia"/>
        </w:rPr>
        <w:t>I</w:t>
      </w:r>
      <w:r>
        <w:rPr>
          <w:rFonts w:eastAsiaTheme="minorEastAsia"/>
        </w:rPr>
        <w:t xml:space="preserve">n the example illustrated in </w:t>
      </w:r>
      <w:r>
        <w:rPr>
          <w:rFonts w:eastAsiaTheme="minorEastAsia"/>
        </w:rPr>
        <w:fldChar w:fldCharType="begin"/>
      </w:r>
      <w:r>
        <w:rPr>
          <w:rFonts w:eastAsiaTheme="minorEastAsia"/>
        </w:rPr>
        <w:instrText xml:space="preserve"> REF _Ref127372987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 xml:space="preserve">, </w:t>
      </w:r>
      <w:r w:rsidR="007359C3">
        <w:rPr>
          <w:rFonts w:eastAsiaTheme="minorEastAsia"/>
        </w:rPr>
        <w:t xml:space="preserve">both UE1 and UE2 are RedCap UEs who are configured with a RedCap-specific DL BWP that does not contain CD-SSB. </w:t>
      </w:r>
      <w:r w:rsidR="008224E5">
        <w:rPr>
          <w:rFonts w:eastAsiaTheme="minorEastAsia"/>
        </w:rPr>
        <w:t xml:space="preserve">UE1 is a </w:t>
      </w:r>
      <w:r w:rsidR="007359C3">
        <w:rPr>
          <w:rFonts w:eastAsiaTheme="minorEastAsia"/>
        </w:rPr>
        <w:t xml:space="preserve">baseline </w:t>
      </w:r>
      <w:r w:rsidR="008224E5">
        <w:rPr>
          <w:rFonts w:eastAsiaTheme="minorEastAsia"/>
        </w:rPr>
        <w:t xml:space="preserve">RedCap UE that </w:t>
      </w:r>
      <w:r w:rsidR="007359C3">
        <w:rPr>
          <w:rFonts w:eastAsiaTheme="minorEastAsia"/>
        </w:rPr>
        <w:t xml:space="preserve">only supports FG28-1 but not FG28-1a. On the other hand, UE2 is an advanced RedCap UE that can support both FG28-1 and FG28-1a. </w:t>
      </w:r>
    </w:p>
    <w:p w14:paraId="55C2CE6A" w14:textId="45A6EBCA" w:rsidR="001D4ACC" w:rsidRDefault="007359C3" w:rsidP="00EE42E2">
      <w:pPr>
        <w:rPr>
          <w:rFonts w:eastAsiaTheme="minorEastAsia"/>
        </w:rPr>
      </w:pPr>
      <w:r>
        <w:rPr>
          <w:rFonts w:eastAsiaTheme="minorEastAsia"/>
        </w:rPr>
        <w:t xml:space="preserve">In initial access, UE1 and UE2 perform RACH in this BWP without any SSB configured. In connected </w:t>
      </w:r>
      <w:r w:rsidR="009A35A6">
        <w:rPr>
          <w:rFonts w:eastAsiaTheme="minorEastAsia"/>
        </w:rPr>
        <w:t xml:space="preserve">mode, </w:t>
      </w:r>
      <w:r w:rsidR="0019285E">
        <w:rPr>
          <w:rFonts w:eastAsiaTheme="minorEastAsia"/>
        </w:rPr>
        <w:t xml:space="preserve">UE1 is configured with NCD-SSB while </w:t>
      </w:r>
      <w:r w:rsidR="00E408B3">
        <w:rPr>
          <w:rFonts w:eastAsiaTheme="minorEastAsia"/>
        </w:rPr>
        <w:t xml:space="preserve">UE2 is not. </w:t>
      </w:r>
      <w:r w:rsidR="002A193B">
        <w:rPr>
          <w:rFonts w:eastAsiaTheme="minorEastAsia"/>
        </w:rPr>
        <w:t xml:space="preserve">UE3 is configured with non-RedCap DL BWP that contains CD-SSB. </w:t>
      </w:r>
    </w:p>
    <w:p w14:paraId="15F18A2D" w14:textId="1ED79CEE" w:rsidR="001D4ACC" w:rsidRDefault="001D4ACC" w:rsidP="001D4ACC">
      <w:pPr>
        <w:jc w:val="center"/>
        <w:rPr>
          <w:rFonts w:eastAsiaTheme="minorEastAsia"/>
        </w:rPr>
      </w:pPr>
      <w:r>
        <w:rPr>
          <w:rFonts w:eastAsiaTheme="minorEastAsia"/>
          <w:noProof/>
        </w:rPr>
        <w:drawing>
          <wp:inline distT="0" distB="0" distL="0" distR="0" wp14:anchorId="234D4DA7" wp14:editId="3FF81922">
            <wp:extent cx="1951200" cy="3297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1200" cy="3297600"/>
                    </a:xfrm>
                    <a:prstGeom prst="rect">
                      <a:avLst/>
                    </a:prstGeom>
                    <a:noFill/>
                  </pic:spPr>
                </pic:pic>
              </a:graphicData>
            </a:graphic>
          </wp:inline>
        </w:drawing>
      </w:r>
    </w:p>
    <w:p w14:paraId="1BBF9D3B" w14:textId="134DA7BF" w:rsidR="00BF4E56" w:rsidRDefault="001D4ACC" w:rsidP="001D4ACC">
      <w:pPr>
        <w:pStyle w:val="Caption"/>
      </w:pPr>
      <w:bookmarkStart w:id="12" w:name="_Ref127372987"/>
      <w:r>
        <w:t xml:space="preserve">Figure </w:t>
      </w:r>
      <w:r w:rsidR="00A007B2">
        <w:fldChar w:fldCharType="begin"/>
      </w:r>
      <w:r w:rsidR="00A007B2">
        <w:instrText xml:space="preserve"> SEQ Figure \* ARABIC </w:instrText>
      </w:r>
      <w:r w:rsidR="00A007B2">
        <w:fldChar w:fldCharType="separate"/>
      </w:r>
      <w:r>
        <w:rPr>
          <w:noProof/>
        </w:rPr>
        <w:t>3</w:t>
      </w:r>
      <w:r w:rsidR="00A007B2">
        <w:rPr>
          <w:noProof/>
        </w:rPr>
        <w:fldChar w:fldCharType="end"/>
      </w:r>
      <w:bookmarkEnd w:id="12"/>
      <w:r>
        <w:t xml:space="preserve">: UE1 and UE2 are configured with RedCap-specific DL BWP that does not contain CD-SSB while UE3 is configured with a non-RedCap DL BWP that contains CD-SSB. Both DL BWPs are associated to the same UL BWP that contains PRACH occasions, RO1, RO2, and RO3. If different UEs apply different SSBs or no SSBs for determining valid ROs, the valid ROs obtained by different UEs may be different. </w:t>
      </w:r>
    </w:p>
    <w:p w14:paraId="252902A9" w14:textId="2FB0857E" w:rsidR="001D4ACC" w:rsidRDefault="001D4ACC" w:rsidP="001D4ACC">
      <w:pPr>
        <w:rPr>
          <w:rFonts w:eastAsiaTheme="minorEastAsia"/>
        </w:rPr>
      </w:pPr>
    </w:p>
    <w:p w14:paraId="21FDF5D6" w14:textId="130862A1" w:rsidR="002A193B" w:rsidRDefault="002A193B" w:rsidP="001D4ACC">
      <w:pPr>
        <w:rPr>
          <w:rFonts w:eastAsiaTheme="minorEastAsia"/>
          <w:lang w:eastAsia="zh-TW"/>
        </w:rPr>
      </w:pPr>
      <w:r>
        <w:rPr>
          <w:rFonts w:eastAsiaTheme="minorEastAsia" w:hint="eastAsia"/>
        </w:rPr>
        <w:t>I</w:t>
      </w:r>
      <w:r>
        <w:rPr>
          <w:rFonts w:eastAsiaTheme="minorEastAsia"/>
        </w:rPr>
        <w:t xml:space="preserve">f the </w:t>
      </w:r>
      <w:r w:rsidR="006B51E6">
        <w:rPr>
          <w:rFonts w:eastAsiaTheme="minorEastAsia"/>
        </w:rPr>
        <w:t>cited text from Clause 8.1 of TS38.213 in the above implies</w:t>
      </w:r>
      <w:r w:rsidR="004854FB">
        <w:rPr>
          <w:rFonts w:eastAsiaTheme="minorEastAsia"/>
          <w:lang w:eastAsia="zh-TW"/>
        </w:rPr>
        <w:t xml:space="preserve"> that the mentioned SS/PBCH blocks include any SSB that the UE is configured</w:t>
      </w:r>
      <w:r w:rsidR="004C5710">
        <w:rPr>
          <w:rFonts w:eastAsiaTheme="minorEastAsia"/>
          <w:lang w:eastAsia="zh-TW"/>
        </w:rPr>
        <w:t xml:space="preserve"> across all configured BWPs</w:t>
      </w:r>
      <w:r w:rsidR="004854FB">
        <w:rPr>
          <w:rFonts w:eastAsiaTheme="minorEastAsia"/>
          <w:lang w:eastAsia="zh-TW"/>
        </w:rPr>
        <w:t xml:space="preserve"> </w:t>
      </w:r>
      <w:r w:rsidR="004854FB" w:rsidRPr="004854FB">
        <w:rPr>
          <w:rFonts w:eastAsiaTheme="minorEastAsia"/>
          <w:i/>
          <w:iCs/>
          <w:lang w:eastAsia="zh-TW"/>
        </w:rPr>
        <w:t>within the cell</w:t>
      </w:r>
      <w:r w:rsidR="004854FB">
        <w:rPr>
          <w:rFonts w:eastAsiaTheme="minorEastAsia" w:hint="eastAsia"/>
          <w:lang w:eastAsia="zh-TW"/>
        </w:rPr>
        <w:t>,</w:t>
      </w:r>
      <w:r w:rsidR="004854FB">
        <w:rPr>
          <w:rFonts w:eastAsiaTheme="minorEastAsia"/>
          <w:lang w:eastAsia="zh-TW"/>
        </w:rPr>
        <w:t xml:space="preserve"> then the valid ROs obtained by different UEs in different RRC states are summarized in </w:t>
      </w:r>
      <w:r w:rsidR="00534597">
        <w:rPr>
          <w:rFonts w:eastAsiaTheme="minorEastAsia"/>
          <w:lang w:eastAsia="zh-TW"/>
        </w:rPr>
        <w:fldChar w:fldCharType="begin"/>
      </w:r>
      <w:r w:rsidR="00534597">
        <w:rPr>
          <w:rFonts w:eastAsiaTheme="minorEastAsia"/>
          <w:lang w:eastAsia="zh-TW"/>
        </w:rPr>
        <w:instrText xml:space="preserve"> REF _Ref127376423 \h </w:instrText>
      </w:r>
      <w:r w:rsidR="00534597">
        <w:rPr>
          <w:rFonts w:eastAsiaTheme="minorEastAsia"/>
          <w:lang w:eastAsia="zh-TW"/>
        </w:rPr>
      </w:r>
      <w:r w:rsidR="00534597">
        <w:rPr>
          <w:rFonts w:eastAsiaTheme="minorEastAsia"/>
          <w:lang w:eastAsia="zh-TW"/>
        </w:rPr>
        <w:fldChar w:fldCharType="separate"/>
      </w:r>
      <w:r w:rsidR="00534597">
        <w:t xml:space="preserve">Table </w:t>
      </w:r>
      <w:r w:rsidR="00534597">
        <w:rPr>
          <w:noProof/>
        </w:rPr>
        <w:t>1</w:t>
      </w:r>
      <w:r w:rsidR="00534597">
        <w:rPr>
          <w:rFonts w:eastAsiaTheme="minorEastAsia"/>
          <w:lang w:eastAsia="zh-TW"/>
        </w:rPr>
        <w:fldChar w:fldCharType="end"/>
      </w:r>
      <w:r w:rsidR="00534597">
        <w:rPr>
          <w:rFonts w:eastAsiaTheme="minorEastAsia"/>
          <w:lang w:eastAsia="zh-TW"/>
        </w:rPr>
        <w:t xml:space="preserve">. </w:t>
      </w:r>
    </w:p>
    <w:p w14:paraId="76B873C0" w14:textId="35D3B53A" w:rsidR="00077A05" w:rsidRDefault="00077A05" w:rsidP="00077A05">
      <w:pPr>
        <w:pStyle w:val="Caption"/>
        <w:rPr>
          <w:rFonts w:eastAsiaTheme="minorEastAsia"/>
          <w:lang w:eastAsia="zh-TW"/>
        </w:rPr>
      </w:pPr>
      <w:bookmarkStart w:id="13" w:name="_Ref127376423"/>
      <w:r>
        <w:t xml:space="preserve">Table </w:t>
      </w:r>
      <w:r w:rsidR="00A007B2">
        <w:fldChar w:fldCharType="begin"/>
      </w:r>
      <w:r w:rsidR="00A007B2">
        <w:instrText xml:space="preserve"> SEQ Table \* ARABIC </w:instrText>
      </w:r>
      <w:r w:rsidR="00A007B2">
        <w:fldChar w:fldCharType="separate"/>
      </w:r>
      <w:r>
        <w:rPr>
          <w:noProof/>
        </w:rPr>
        <w:t>1</w:t>
      </w:r>
      <w:r w:rsidR="00A007B2">
        <w:rPr>
          <w:noProof/>
        </w:rPr>
        <w:fldChar w:fldCharType="end"/>
      </w:r>
      <w:bookmarkEnd w:id="13"/>
      <w:r w:rsidR="00E10F09">
        <w:t xml:space="preserve">: </w:t>
      </w:r>
      <w:r w:rsidR="00493058">
        <w:t xml:space="preserve">Valid PRACH occasions (ROs) determined by different UEs using different SSBs </w:t>
      </w:r>
    </w:p>
    <w:tbl>
      <w:tblPr>
        <w:tblStyle w:val="TableGrid"/>
        <w:tblW w:w="0" w:type="auto"/>
        <w:tblLook w:val="04A0" w:firstRow="1" w:lastRow="0" w:firstColumn="1" w:lastColumn="0" w:noHBand="0" w:noVBand="1"/>
      </w:tblPr>
      <w:tblGrid>
        <w:gridCol w:w="3210"/>
        <w:gridCol w:w="3210"/>
        <w:gridCol w:w="3211"/>
      </w:tblGrid>
      <w:tr w:rsidR="004854FB" w:rsidRPr="004854FB" w14:paraId="51BFA13F" w14:textId="77777777" w:rsidTr="004854FB">
        <w:trPr>
          <w:trHeight w:val="362"/>
        </w:trPr>
        <w:tc>
          <w:tcPr>
            <w:tcW w:w="3210" w:type="dxa"/>
            <w:hideMark/>
          </w:tcPr>
          <w:p w14:paraId="7C00DC1E" w14:textId="77777777" w:rsidR="004854FB" w:rsidRPr="004854FB" w:rsidRDefault="004854FB" w:rsidP="004854FB">
            <w:pPr>
              <w:rPr>
                <w:rFonts w:eastAsiaTheme="minorEastAsia"/>
              </w:rPr>
            </w:pPr>
          </w:p>
        </w:tc>
        <w:tc>
          <w:tcPr>
            <w:tcW w:w="3210" w:type="dxa"/>
            <w:hideMark/>
          </w:tcPr>
          <w:p w14:paraId="480960C3" w14:textId="77777777" w:rsidR="004854FB" w:rsidRPr="004854FB" w:rsidRDefault="004854FB" w:rsidP="004854FB">
            <w:pPr>
              <w:rPr>
                <w:rFonts w:eastAsiaTheme="minorEastAsia"/>
              </w:rPr>
            </w:pPr>
            <w:r w:rsidRPr="004854FB">
              <w:rPr>
                <w:rFonts w:eastAsiaTheme="minorEastAsia"/>
                <w:b/>
                <w:bCs/>
              </w:rPr>
              <w:t>SSB applied</w:t>
            </w:r>
          </w:p>
        </w:tc>
        <w:tc>
          <w:tcPr>
            <w:tcW w:w="3211" w:type="dxa"/>
            <w:hideMark/>
          </w:tcPr>
          <w:p w14:paraId="2AD1E80A" w14:textId="77777777" w:rsidR="004854FB" w:rsidRPr="004854FB" w:rsidRDefault="004854FB" w:rsidP="004854FB">
            <w:pPr>
              <w:rPr>
                <w:rFonts w:eastAsiaTheme="minorEastAsia"/>
              </w:rPr>
            </w:pPr>
            <w:r w:rsidRPr="004854FB">
              <w:rPr>
                <w:rFonts w:eastAsiaTheme="minorEastAsia"/>
                <w:b/>
                <w:bCs/>
              </w:rPr>
              <w:t>Valid ROs</w:t>
            </w:r>
          </w:p>
        </w:tc>
      </w:tr>
      <w:tr w:rsidR="004854FB" w:rsidRPr="004854FB" w14:paraId="277C4B61" w14:textId="77777777" w:rsidTr="004854FB">
        <w:trPr>
          <w:trHeight w:val="362"/>
        </w:trPr>
        <w:tc>
          <w:tcPr>
            <w:tcW w:w="3210" w:type="dxa"/>
            <w:hideMark/>
          </w:tcPr>
          <w:p w14:paraId="3F99D104" w14:textId="44B1276B" w:rsidR="004854FB" w:rsidRPr="004854FB" w:rsidRDefault="004854FB" w:rsidP="004854FB">
            <w:pPr>
              <w:rPr>
                <w:rFonts w:eastAsiaTheme="minorEastAsia"/>
                <w:b/>
                <w:bCs/>
              </w:rPr>
            </w:pPr>
            <w:r w:rsidRPr="004854FB">
              <w:rPr>
                <w:rFonts w:eastAsiaTheme="minorEastAsia"/>
                <w:b/>
                <w:bCs/>
              </w:rPr>
              <w:t xml:space="preserve">UE1 </w:t>
            </w:r>
            <w:r w:rsidRPr="00C64EED">
              <w:rPr>
                <w:rFonts w:eastAsiaTheme="minorEastAsia"/>
                <w:b/>
                <w:bCs/>
              </w:rPr>
              <w:t>in initial access</w:t>
            </w:r>
            <w:r w:rsidR="00C64EED">
              <w:rPr>
                <w:rFonts w:eastAsiaTheme="minorEastAsia"/>
                <w:b/>
                <w:bCs/>
              </w:rPr>
              <w:t xml:space="preserve"> </w:t>
            </w:r>
            <w:r w:rsidRPr="00C64EED">
              <w:rPr>
                <w:rFonts w:eastAsiaTheme="minorEastAsia"/>
                <w:b/>
                <w:bCs/>
              </w:rPr>
              <w:t>/</w:t>
            </w:r>
            <w:r w:rsidR="00C64EED">
              <w:rPr>
                <w:rFonts w:eastAsiaTheme="minorEastAsia"/>
                <w:b/>
                <w:bCs/>
              </w:rPr>
              <w:t xml:space="preserve"> </w:t>
            </w:r>
            <w:r w:rsidRPr="00C64EED">
              <w:rPr>
                <w:rFonts w:eastAsiaTheme="minorEastAsia"/>
                <w:b/>
                <w:bCs/>
              </w:rPr>
              <w:t>I</w:t>
            </w:r>
            <w:r w:rsidRPr="004854FB">
              <w:rPr>
                <w:rFonts w:eastAsiaTheme="minorEastAsia"/>
                <w:b/>
                <w:bCs/>
              </w:rPr>
              <w:t>dle</w:t>
            </w:r>
            <w:r w:rsidR="00C64EED">
              <w:rPr>
                <w:rFonts w:eastAsiaTheme="minorEastAsia"/>
                <w:b/>
                <w:bCs/>
              </w:rPr>
              <w:t xml:space="preserve"> </w:t>
            </w:r>
            <w:r w:rsidRPr="00C64EED">
              <w:rPr>
                <w:rFonts w:eastAsiaTheme="minorEastAsia"/>
                <w:b/>
                <w:bCs/>
              </w:rPr>
              <w:t>/</w:t>
            </w:r>
            <w:r w:rsidR="00C64EED">
              <w:rPr>
                <w:rFonts w:eastAsiaTheme="minorEastAsia"/>
                <w:b/>
                <w:bCs/>
              </w:rPr>
              <w:t xml:space="preserve"> </w:t>
            </w:r>
            <w:r w:rsidRPr="00C64EED">
              <w:rPr>
                <w:rFonts w:eastAsiaTheme="minorEastAsia"/>
                <w:b/>
                <w:bCs/>
              </w:rPr>
              <w:t>Inactive</w:t>
            </w:r>
            <w:r w:rsidR="004C5710">
              <w:rPr>
                <w:rFonts w:eastAsiaTheme="minorEastAsia"/>
                <w:b/>
                <w:bCs/>
              </w:rPr>
              <w:t xml:space="preserve"> modes</w:t>
            </w:r>
          </w:p>
        </w:tc>
        <w:tc>
          <w:tcPr>
            <w:tcW w:w="3210" w:type="dxa"/>
            <w:hideMark/>
          </w:tcPr>
          <w:p w14:paraId="0AF46C36" w14:textId="1AA352ED" w:rsidR="004854FB" w:rsidRPr="004854FB" w:rsidRDefault="004854FB" w:rsidP="004854FB">
            <w:pPr>
              <w:rPr>
                <w:rFonts w:eastAsiaTheme="minorEastAsia"/>
              </w:rPr>
            </w:pPr>
            <w:r w:rsidRPr="004854FB">
              <w:rPr>
                <w:rFonts w:eastAsiaTheme="minorEastAsia"/>
              </w:rPr>
              <w:t>CD-SSB</w:t>
            </w:r>
            <w:r w:rsidR="00E3795E" w:rsidRPr="004C5710">
              <w:rPr>
                <w:rFonts w:eastAsiaTheme="minorEastAsia"/>
              </w:rPr>
              <w:t xml:space="preserve"> (or none?)</w:t>
            </w:r>
          </w:p>
        </w:tc>
        <w:tc>
          <w:tcPr>
            <w:tcW w:w="3211" w:type="dxa"/>
            <w:hideMark/>
          </w:tcPr>
          <w:p w14:paraId="5DE7FA5B" w14:textId="77777777" w:rsidR="004854FB" w:rsidRPr="004854FB" w:rsidRDefault="004854FB" w:rsidP="004854FB">
            <w:pPr>
              <w:rPr>
                <w:rFonts w:eastAsiaTheme="minorEastAsia"/>
              </w:rPr>
            </w:pPr>
            <w:r w:rsidRPr="004854FB">
              <w:rPr>
                <w:rFonts w:eastAsiaTheme="minorEastAsia"/>
              </w:rPr>
              <w:t xml:space="preserve">RO2, </w:t>
            </w:r>
            <w:r w:rsidRPr="004854FB">
              <w:rPr>
                <w:rFonts w:eastAsiaTheme="minorEastAsia"/>
                <w:color w:val="FF0000"/>
              </w:rPr>
              <w:t>RO3</w:t>
            </w:r>
          </w:p>
        </w:tc>
      </w:tr>
      <w:tr w:rsidR="004854FB" w:rsidRPr="004854FB" w14:paraId="08C7B822" w14:textId="77777777" w:rsidTr="004854FB">
        <w:trPr>
          <w:trHeight w:val="362"/>
        </w:trPr>
        <w:tc>
          <w:tcPr>
            <w:tcW w:w="3210" w:type="dxa"/>
            <w:hideMark/>
          </w:tcPr>
          <w:p w14:paraId="6664854E" w14:textId="50391C75" w:rsidR="004854FB" w:rsidRPr="004854FB" w:rsidRDefault="004854FB" w:rsidP="004854FB">
            <w:pPr>
              <w:rPr>
                <w:rFonts w:eastAsiaTheme="minorEastAsia"/>
                <w:b/>
                <w:bCs/>
              </w:rPr>
            </w:pPr>
            <w:r w:rsidRPr="004854FB">
              <w:rPr>
                <w:rFonts w:eastAsiaTheme="minorEastAsia"/>
                <w:b/>
                <w:bCs/>
              </w:rPr>
              <w:t xml:space="preserve">UE1 </w:t>
            </w:r>
            <w:r w:rsidR="000068AA" w:rsidRPr="00C64EED">
              <w:rPr>
                <w:rFonts w:eastAsiaTheme="minorEastAsia"/>
                <w:b/>
                <w:bCs/>
              </w:rPr>
              <w:t xml:space="preserve">in </w:t>
            </w:r>
            <w:r w:rsidRPr="004854FB">
              <w:rPr>
                <w:rFonts w:eastAsiaTheme="minorEastAsia"/>
                <w:b/>
                <w:bCs/>
              </w:rPr>
              <w:t>con</w:t>
            </w:r>
            <w:r w:rsidR="000068AA" w:rsidRPr="00C64EED">
              <w:rPr>
                <w:rFonts w:eastAsiaTheme="minorEastAsia"/>
                <w:b/>
                <w:bCs/>
              </w:rPr>
              <w:t xml:space="preserve">nected </w:t>
            </w:r>
            <w:r w:rsidR="004C5710">
              <w:rPr>
                <w:rFonts w:eastAsiaTheme="minorEastAsia"/>
                <w:b/>
                <w:bCs/>
              </w:rPr>
              <w:t>mode</w:t>
            </w:r>
          </w:p>
        </w:tc>
        <w:tc>
          <w:tcPr>
            <w:tcW w:w="3210" w:type="dxa"/>
            <w:hideMark/>
          </w:tcPr>
          <w:p w14:paraId="395ADC99" w14:textId="0E5D7984" w:rsidR="004854FB" w:rsidRPr="004854FB" w:rsidRDefault="004854FB" w:rsidP="004854FB">
            <w:pPr>
              <w:rPr>
                <w:rFonts w:eastAsiaTheme="minorEastAsia"/>
              </w:rPr>
            </w:pPr>
            <w:r w:rsidRPr="004854FB">
              <w:rPr>
                <w:rFonts w:eastAsiaTheme="minorEastAsia"/>
              </w:rPr>
              <w:t>Both CD- and NCD-SSB</w:t>
            </w:r>
            <w:r w:rsidR="004C5710" w:rsidRPr="004C5710">
              <w:rPr>
                <w:rFonts w:eastAsiaTheme="minorEastAsia"/>
              </w:rPr>
              <w:t xml:space="preserve"> (?)</w:t>
            </w:r>
          </w:p>
        </w:tc>
        <w:tc>
          <w:tcPr>
            <w:tcW w:w="3211" w:type="dxa"/>
            <w:hideMark/>
          </w:tcPr>
          <w:p w14:paraId="6DCDBC8F" w14:textId="77777777" w:rsidR="004854FB" w:rsidRPr="004854FB" w:rsidRDefault="004854FB" w:rsidP="004854FB">
            <w:pPr>
              <w:rPr>
                <w:rFonts w:eastAsiaTheme="minorEastAsia"/>
              </w:rPr>
            </w:pPr>
            <w:r w:rsidRPr="004854FB">
              <w:rPr>
                <w:rFonts w:eastAsiaTheme="minorEastAsia"/>
                <w:color w:val="FF0000"/>
              </w:rPr>
              <w:t>RO3</w:t>
            </w:r>
          </w:p>
        </w:tc>
      </w:tr>
      <w:tr w:rsidR="004854FB" w:rsidRPr="004854FB" w14:paraId="74B80250" w14:textId="77777777" w:rsidTr="004854FB">
        <w:trPr>
          <w:trHeight w:val="362"/>
        </w:trPr>
        <w:tc>
          <w:tcPr>
            <w:tcW w:w="3210" w:type="dxa"/>
            <w:hideMark/>
          </w:tcPr>
          <w:p w14:paraId="70EF9F54" w14:textId="77777777" w:rsidR="004854FB" w:rsidRPr="004854FB" w:rsidRDefault="004854FB" w:rsidP="004854FB">
            <w:pPr>
              <w:rPr>
                <w:rFonts w:eastAsiaTheme="minorEastAsia"/>
                <w:b/>
                <w:bCs/>
              </w:rPr>
            </w:pPr>
            <w:r w:rsidRPr="004854FB">
              <w:rPr>
                <w:rFonts w:eastAsiaTheme="minorEastAsia"/>
                <w:b/>
                <w:bCs/>
              </w:rPr>
              <w:t>UE2</w:t>
            </w:r>
          </w:p>
        </w:tc>
        <w:tc>
          <w:tcPr>
            <w:tcW w:w="3210" w:type="dxa"/>
            <w:hideMark/>
          </w:tcPr>
          <w:p w14:paraId="33C05573" w14:textId="77777777" w:rsidR="004854FB" w:rsidRPr="004854FB" w:rsidRDefault="004854FB" w:rsidP="004854FB">
            <w:pPr>
              <w:rPr>
                <w:rFonts w:eastAsiaTheme="minorEastAsia"/>
              </w:rPr>
            </w:pPr>
            <w:r w:rsidRPr="004854FB">
              <w:rPr>
                <w:rFonts w:eastAsiaTheme="minorEastAsia"/>
              </w:rPr>
              <w:t>CD-SSB (or none?)</w:t>
            </w:r>
          </w:p>
        </w:tc>
        <w:tc>
          <w:tcPr>
            <w:tcW w:w="3211" w:type="dxa"/>
            <w:hideMark/>
          </w:tcPr>
          <w:p w14:paraId="749AE109" w14:textId="77777777" w:rsidR="004854FB" w:rsidRPr="004854FB" w:rsidRDefault="004854FB" w:rsidP="004854FB">
            <w:pPr>
              <w:rPr>
                <w:rFonts w:eastAsiaTheme="minorEastAsia"/>
              </w:rPr>
            </w:pPr>
            <w:r w:rsidRPr="004854FB">
              <w:rPr>
                <w:rFonts w:eastAsiaTheme="minorEastAsia"/>
              </w:rPr>
              <w:t xml:space="preserve">RO2, </w:t>
            </w:r>
            <w:r w:rsidRPr="004854FB">
              <w:rPr>
                <w:rFonts w:eastAsiaTheme="minorEastAsia"/>
                <w:color w:val="FF0000"/>
              </w:rPr>
              <w:t>RO3</w:t>
            </w:r>
          </w:p>
        </w:tc>
      </w:tr>
      <w:tr w:rsidR="004854FB" w:rsidRPr="004854FB" w14:paraId="5D261285" w14:textId="77777777" w:rsidTr="004854FB">
        <w:trPr>
          <w:trHeight w:val="362"/>
        </w:trPr>
        <w:tc>
          <w:tcPr>
            <w:tcW w:w="3210" w:type="dxa"/>
            <w:hideMark/>
          </w:tcPr>
          <w:p w14:paraId="523DB491" w14:textId="77777777" w:rsidR="004854FB" w:rsidRPr="004854FB" w:rsidRDefault="004854FB" w:rsidP="004854FB">
            <w:pPr>
              <w:rPr>
                <w:rFonts w:eastAsiaTheme="minorEastAsia"/>
                <w:b/>
                <w:bCs/>
              </w:rPr>
            </w:pPr>
            <w:r w:rsidRPr="004854FB">
              <w:rPr>
                <w:rFonts w:eastAsiaTheme="minorEastAsia"/>
                <w:b/>
                <w:bCs/>
              </w:rPr>
              <w:t>UE3</w:t>
            </w:r>
          </w:p>
        </w:tc>
        <w:tc>
          <w:tcPr>
            <w:tcW w:w="3210" w:type="dxa"/>
            <w:hideMark/>
          </w:tcPr>
          <w:p w14:paraId="2445021C" w14:textId="77777777" w:rsidR="004854FB" w:rsidRPr="004854FB" w:rsidRDefault="004854FB" w:rsidP="004854FB">
            <w:pPr>
              <w:rPr>
                <w:rFonts w:eastAsiaTheme="minorEastAsia"/>
              </w:rPr>
            </w:pPr>
            <w:r w:rsidRPr="004854FB">
              <w:rPr>
                <w:rFonts w:eastAsiaTheme="minorEastAsia"/>
              </w:rPr>
              <w:t>CD-SSB</w:t>
            </w:r>
          </w:p>
        </w:tc>
        <w:tc>
          <w:tcPr>
            <w:tcW w:w="3211" w:type="dxa"/>
            <w:hideMark/>
          </w:tcPr>
          <w:p w14:paraId="066EA113" w14:textId="77777777" w:rsidR="004854FB" w:rsidRPr="004854FB" w:rsidRDefault="004854FB" w:rsidP="004854FB">
            <w:pPr>
              <w:rPr>
                <w:rFonts w:eastAsiaTheme="minorEastAsia"/>
              </w:rPr>
            </w:pPr>
            <w:r w:rsidRPr="004854FB">
              <w:rPr>
                <w:rFonts w:eastAsiaTheme="minorEastAsia"/>
              </w:rPr>
              <w:t xml:space="preserve">RO2, </w:t>
            </w:r>
            <w:r w:rsidRPr="004854FB">
              <w:rPr>
                <w:rFonts w:eastAsiaTheme="minorEastAsia"/>
                <w:color w:val="FF0000"/>
              </w:rPr>
              <w:t>RO3</w:t>
            </w:r>
          </w:p>
        </w:tc>
      </w:tr>
    </w:tbl>
    <w:p w14:paraId="084D5AA0" w14:textId="76B57641" w:rsidR="004854FB" w:rsidRDefault="004854FB" w:rsidP="001D4ACC">
      <w:pPr>
        <w:rPr>
          <w:rFonts w:eastAsiaTheme="minorEastAsia"/>
        </w:rPr>
      </w:pPr>
    </w:p>
    <w:p w14:paraId="2A869560" w14:textId="059B0E2E" w:rsidR="003D1B35" w:rsidRDefault="003D1B35" w:rsidP="003D1B35">
      <w:pPr>
        <w:pStyle w:val="Caption"/>
      </w:pPr>
      <w:bookmarkStart w:id="14" w:name="_Ref127561990"/>
      <w:r>
        <w:lastRenderedPageBreak/>
        <w:t xml:space="preserve">Observation </w:t>
      </w:r>
      <w:r w:rsidR="00A007B2">
        <w:fldChar w:fldCharType="begin"/>
      </w:r>
      <w:r w:rsidR="00A007B2">
        <w:instrText xml:space="preserve"> SEQ Observation \* ARABIC </w:instrText>
      </w:r>
      <w:r w:rsidR="00A007B2">
        <w:fldChar w:fldCharType="separate"/>
      </w:r>
      <w:r w:rsidR="00231010">
        <w:rPr>
          <w:noProof/>
        </w:rPr>
        <w:t>4</w:t>
      </w:r>
      <w:r w:rsidR="00A007B2">
        <w:rPr>
          <w:noProof/>
        </w:rPr>
        <w:fldChar w:fldCharType="end"/>
      </w:r>
      <w:r>
        <w:t>: The same UE (e.g. UE1) in different RRC states may apply different SSBs and obtain different valid ROs.</w:t>
      </w:r>
      <w:bookmarkEnd w:id="14"/>
      <w:r>
        <w:t xml:space="preserve"> </w:t>
      </w:r>
    </w:p>
    <w:p w14:paraId="0ED5C43E" w14:textId="7D32D180" w:rsidR="003D1B35" w:rsidRDefault="003D1B35" w:rsidP="003D1B35">
      <w:pPr>
        <w:pStyle w:val="Caption"/>
      </w:pPr>
      <w:bookmarkStart w:id="15" w:name="_Ref127561997"/>
      <w:r>
        <w:t xml:space="preserve">Observation </w:t>
      </w:r>
      <w:r w:rsidR="00A007B2">
        <w:fldChar w:fldCharType="begin"/>
      </w:r>
      <w:r w:rsidR="00A007B2">
        <w:instrText xml:space="preserve"> SEQ Observation \* ARABIC </w:instrText>
      </w:r>
      <w:r w:rsidR="00A007B2">
        <w:fldChar w:fldCharType="separate"/>
      </w:r>
      <w:r w:rsidR="00231010">
        <w:rPr>
          <w:noProof/>
        </w:rPr>
        <w:t>5</w:t>
      </w:r>
      <w:r w:rsidR="00A007B2">
        <w:rPr>
          <w:noProof/>
        </w:rPr>
        <w:fldChar w:fldCharType="end"/>
      </w:r>
      <w:r>
        <w:t>: Different UEs (e.g. UE1 and UE2 in the same BWP may obtain different valid ROs.</w:t>
      </w:r>
      <w:bookmarkEnd w:id="15"/>
      <w:r>
        <w:t xml:space="preserve"> </w:t>
      </w:r>
    </w:p>
    <w:p w14:paraId="3C945194" w14:textId="6BF7F3D7" w:rsidR="003D1B35" w:rsidRDefault="003D1B35" w:rsidP="003D1B35">
      <w:pPr>
        <w:pStyle w:val="Caption"/>
      </w:pPr>
      <w:bookmarkStart w:id="16" w:name="_Ref127562004"/>
      <w:r>
        <w:t xml:space="preserve">Observation </w:t>
      </w:r>
      <w:r w:rsidR="00A007B2">
        <w:fldChar w:fldCharType="begin"/>
      </w:r>
      <w:r w:rsidR="00A007B2">
        <w:instrText xml:space="preserve"> SEQ Observation \* ARABIC </w:instrText>
      </w:r>
      <w:r w:rsidR="00A007B2">
        <w:fldChar w:fldCharType="separate"/>
      </w:r>
      <w:r w:rsidR="00231010">
        <w:rPr>
          <w:noProof/>
        </w:rPr>
        <w:t>6</w:t>
      </w:r>
      <w:r w:rsidR="00A007B2">
        <w:rPr>
          <w:noProof/>
        </w:rPr>
        <w:fldChar w:fldCharType="end"/>
      </w:r>
      <w:r>
        <w:t>: Different UEs in different DL BWPs that are associated to the same UL BWP and the same ROs may obtain different valid ROs.</w:t>
      </w:r>
      <w:bookmarkEnd w:id="16"/>
      <w:r>
        <w:t xml:space="preserve"> </w:t>
      </w:r>
    </w:p>
    <w:p w14:paraId="3E5DAAE8" w14:textId="0C2D3BF3" w:rsidR="003D1B35" w:rsidRDefault="003D1B35" w:rsidP="003D1B35">
      <w:pPr>
        <w:rPr>
          <w:rFonts w:eastAsiaTheme="minorEastAsia"/>
        </w:rPr>
      </w:pPr>
    </w:p>
    <w:p w14:paraId="3E6189D5" w14:textId="44CE4DA6" w:rsidR="003E50E1" w:rsidRDefault="003E50E1" w:rsidP="003D1B35">
      <w:pPr>
        <w:rPr>
          <w:rFonts w:eastAsiaTheme="minorEastAsia"/>
        </w:rPr>
      </w:pPr>
      <w:r>
        <w:rPr>
          <w:rFonts w:eastAsiaTheme="minorEastAsia" w:hint="eastAsia"/>
        </w:rPr>
        <w:t>I</w:t>
      </w:r>
      <w:r>
        <w:rPr>
          <w:rFonts w:eastAsiaTheme="minorEastAsia"/>
        </w:rPr>
        <w:t xml:space="preserve">n the example, RO3 may associated to SSB1 by UE1 in connected mode while it may be associated to another SSB by UE2 and UE3. </w:t>
      </w:r>
      <w:r w:rsidR="003F1EE2">
        <w:rPr>
          <w:rFonts w:eastAsiaTheme="minorEastAsia"/>
        </w:rPr>
        <w:t xml:space="preserve">In a contention-based RACH (RACH) procedure, gNB cannot tell </w:t>
      </w:r>
      <w:r w:rsidR="003D13C6">
        <w:rPr>
          <w:rFonts w:eastAsiaTheme="minorEastAsia"/>
        </w:rPr>
        <w:t xml:space="preserve">which UE has transmitted the PRACH detected by gNB. This hence causes </w:t>
      </w:r>
      <w:r w:rsidR="00231010">
        <w:rPr>
          <w:rFonts w:eastAsiaTheme="minorEastAsia"/>
        </w:rPr>
        <w:t xml:space="preserve">ambiguity of which SSB gNB should use for the following downlink transmissions including Msg2, MsgB, Msg3 reTx grant, and Msg4. </w:t>
      </w:r>
    </w:p>
    <w:p w14:paraId="3985A056" w14:textId="53D4B06A" w:rsidR="00231010" w:rsidRDefault="00231010" w:rsidP="00231010">
      <w:pPr>
        <w:pStyle w:val="Caption"/>
      </w:pPr>
      <w:bookmarkStart w:id="17" w:name="_Ref127562018"/>
      <w:r>
        <w:t xml:space="preserve">Observation </w:t>
      </w:r>
      <w:r w:rsidR="00A007B2">
        <w:fldChar w:fldCharType="begin"/>
      </w:r>
      <w:r w:rsidR="00A007B2">
        <w:instrText xml:space="preserve"> SEQ Observation \* ARABIC </w:instrText>
      </w:r>
      <w:r w:rsidR="00A007B2">
        <w:fldChar w:fldCharType="separate"/>
      </w:r>
      <w:r>
        <w:rPr>
          <w:noProof/>
        </w:rPr>
        <w:t>7</w:t>
      </w:r>
      <w:r w:rsidR="00A007B2">
        <w:rPr>
          <w:noProof/>
        </w:rPr>
        <w:fldChar w:fldCharType="end"/>
      </w:r>
      <w:r>
        <w:t>: SSB/</w:t>
      </w:r>
      <w:r w:rsidRPr="00231010">
        <w:t xml:space="preserve">QCL ambiguity </w:t>
      </w:r>
      <w:r>
        <w:t xml:space="preserve">may occur </w:t>
      </w:r>
      <w:r w:rsidRPr="00231010">
        <w:t xml:space="preserve">at gNB for transmitting RAR/MsgB/Msg4 in CBRA </w:t>
      </w:r>
      <w:r>
        <w:t xml:space="preserve">if </w:t>
      </w:r>
      <w:r w:rsidRPr="00231010">
        <w:t>different UEs apply different SSB (CD- SSB or NCD-SSB)</w:t>
      </w:r>
      <w:r>
        <w:t xml:space="preserve"> that </w:t>
      </w:r>
      <w:r w:rsidRPr="00231010">
        <w:t>lead to different valid ROs/POs and SSB-RO/PO association</w:t>
      </w:r>
      <w:r>
        <w:t>s.</w:t>
      </w:r>
      <w:bookmarkEnd w:id="17"/>
      <w:r>
        <w:t xml:space="preserve"> </w:t>
      </w:r>
    </w:p>
    <w:p w14:paraId="2180B26B" w14:textId="7BBAFE20" w:rsidR="004877CD" w:rsidRDefault="004877CD" w:rsidP="004877CD">
      <w:pPr>
        <w:rPr>
          <w:rFonts w:eastAsiaTheme="minorEastAsia"/>
        </w:rPr>
      </w:pPr>
    </w:p>
    <w:p w14:paraId="3D5F82C8" w14:textId="3E3E553A" w:rsidR="00232B7E" w:rsidRDefault="001B3560" w:rsidP="004877CD">
      <w:pPr>
        <w:rPr>
          <w:rFonts w:eastAsiaTheme="minorEastAsia"/>
        </w:rPr>
      </w:pPr>
      <w:r>
        <w:rPr>
          <w:rFonts w:eastAsiaTheme="minorEastAsia"/>
        </w:rPr>
        <w:t xml:space="preserve">To resolve the identified issue, </w:t>
      </w:r>
      <w:r w:rsidR="00232B7E">
        <w:rPr>
          <w:rFonts w:eastAsiaTheme="minorEastAsia"/>
        </w:rPr>
        <w:t xml:space="preserve">one possible solution is to apply the SSB configured in the current BWP. But this implies </w:t>
      </w:r>
      <w:r w:rsidR="007848EA">
        <w:rPr>
          <w:rFonts w:eastAsiaTheme="minorEastAsia"/>
        </w:rPr>
        <w:t>UE1 in the above example obtains different SSB-RO associations in different RRC states. Additionally, for UEs that are not configured with any SSB, e.g. UE2, no PRACH occasions are invalidated by SSB since no SSB is applied for such purpose.</w:t>
      </w:r>
      <w:r w:rsidR="006564E2">
        <w:rPr>
          <w:rFonts w:eastAsiaTheme="minorEastAsia"/>
        </w:rPr>
        <w:t xml:space="preserve"> In addition</w:t>
      </w:r>
      <w:r w:rsidR="000A4D1D">
        <w:rPr>
          <w:rFonts w:eastAsiaTheme="minorEastAsia"/>
        </w:rPr>
        <w:t xml:space="preserve">, </w:t>
      </w:r>
      <w:r w:rsidR="006564E2">
        <w:rPr>
          <w:rFonts w:eastAsiaTheme="minorEastAsia"/>
        </w:rPr>
        <w:t xml:space="preserve">unless UEs in the same BWP are always provided the same SSB configuration (including NCD-SSB), UEs in the same BWP may still determine different sets of valid ROs. Finally, </w:t>
      </w:r>
      <w:r w:rsidR="005D5663">
        <w:rPr>
          <w:rFonts w:eastAsiaTheme="minorEastAsia"/>
        </w:rPr>
        <w:t xml:space="preserve">FG1-10 from Rel-15 supports SCell without SS/PBCH. If PRACH can be configured for such an SCell, then this possible solution may cause an NBC issue. </w:t>
      </w:r>
    </w:p>
    <w:p w14:paraId="4FB41C18" w14:textId="0F40F81E" w:rsidR="004877CD" w:rsidRDefault="005D5663" w:rsidP="004877CD">
      <w:pPr>
        <w:rPr>
          <w:rFonts w:eastAsiaTheme="minorEastAsia"/>
        </w:rPr>
      </w:pPr>
      <w:r>
        <w:rPr>
          <w:rFonts w:eastAsiaTheme="minorEastAsia"/>
        </w:rPr>
        <w:t xml:space="preserve">Therefore, we prefer another possible solution that </w:t>
      </w:r>
      <w:r w:rsidR="004877CD">
        <w:rPr>
          <w:rFonts w:eastAsiaTheme="minorEastAsia"/>
        </w:rPr>
        <w:t xml:space="preserve">only CD-SSB is taken into consideration for determining valid PRACH/PUSCH occasions in TDD regardless which BWP the UE is operating on. More specifically, </w:t>
      </w:r>
      <w:r w:rsidR="008D593B">
        <w:rPr>
          <w:rFonts w:eastAsiaTheme="minorEastAsia"/>
        </w:rPr>
        <w:t xml:space="preserve">regardless whether UE is configured with CD-SSB, NCD-SSB, or no SSB in the current DL BWP, UE always applies CD-SSB for PRACH/PUCSCH occasion </w:t>
      </w:r>
      <w:r w:rsidR="00593AC7">
        <w:rPr>
          <w:rFonts w:eastAsiaTheme="minorEastAsia"/>
        </w:rPr>
        <w:t xml:space="preserve">validation. </w:t>
      </w:r>
    </w:p>
    <w:p w14:paraId="60D357D1" w14:textId="317F0BC4" w:rsidR="00593AC7" w:rsidRDefault="00593AC7" w:rsidP="00593AC7">
      <w:pPr>
        <w:pStyle w:val="Caption"/>
      </w:pPr>
      <w:bookmarkStart w:id="18" w:name="_Ref127378475"/>
      <w:bookmarkStart w:id="19" w:name="_Ref127562070"/>
      <w:r>
        <w:t xml:space="preserve">Proposal </w:t>
      </w:r>
      <w:r w:rsidR="00A007B2">
        <w:fldChar w:fldCharType="begin"/>
      </w:r>
      <w:r w:rsidR="00A007B2">
        <w:instrText xml:space="preserve"> SEQ Proposal \* ARABIC </w:instrText>
      </w:r>
      <w:r w:rsidR="00A007B2">
        <w:fldChar w:fldCharType="separate"/>
      </w:r>
      <w:r>
        <w:rPr>
          <w:noProof/>
        </w:rPr>
        <w:t>6</w:t>
      </w:r>
      <w:r w:rsidR="00A007B2">
        <w:rPr>
          <w:noProof/>
        </w:rPr>
        <w:fldChar w:fldCharType="end"/>
      </w:r>
      <w:bookmarkEnd w:id="18"/>
      <w:r>
        <w:t xml:space="preserve">: </w:t>
      </w:r>
      <w:r w:rsidRPr="00593AC7">
        <w:t xml:space="preserve">UE always applies CD-SSB but not NCD-SSB </w:t>
      </w:r>
      <w:r w:rsidR="00082742">
        <w:t xml:space="preserve">from </w:t>
      </w:r>
      <w:r w:rsidR="00082742" w:rsidRPr="00082742">
        <w:rPr>
          <w:i/>
          <w:iCs/>
        </w:rPr>
        <w:t>NonCellDefiningSSB</w:t>
      </w:r>
      <w:r w:rsidR="00082742">
        <w:t xml:space="preserve"> </w:t>
      </w:r>
      <w:r w:rsidRPr="00593AC7">
        <w:t>to determine valid PRACH and PUSCH occasions in TDD regardless of whether/which SSB is configured in the BWP.</w:t>
      </w:r>
      <w:bookmarkEnd w:id="19"/>
      <w:r w:rsidRPr="00593AC7">
        <w:t xml:space="preserve">  </w:t>
      </w:r>
    </w:p>
    <w:p w14:paraId="275BDBE3" w14:textId="354D2825" w:rsidR="000104AC" w:rsidRPr="000104AC" w:rsidRDefault="000104AC" w:rsidP="000104AC">
      <w:pPr>
        <w:rPr>
          <w:rFonts w:eastAsiaTheme="minorEastAsia"/>
        </w:rPr>
      </w:pPr>
      <w:r>
        <w:rPr>
          <w:rFonts w:eastAsiaTheme="minorEastAsia" w:hint="eastAsia"/>
        </w:rPr>
        <w:t>T</w:t>
      </w:r>
      <w:r>
        <w:rPr>
          <w:rFonts w:eastAsiaTheme="minorEastAsia"/>
        </w:rPr>
        <w:t xml:space="preserve">he text proposal corresponding to </w:t>
      </w:r>
      <w:r>
        <w:rPr>
          <w:rFonts w:eastAsiaTheme="minorEastAsia"/>
        </w:rPr>
        <w:fldChar w:fldCharType="begin"/>
      </w:r>
      <w:r>
        <w:rPr>
          <w:rFonts w:eastAsiaTheme="minorEastAsia"/>
        </w:rPr>
        <w:instrText xml:space="preserve"> REF _Ref127378475 \h </w:instrText>
      </w:r>
      <w:r>
        <w:rPr>
          <w:rFonts w:eastAsiaTheme="minorEastAsia"/>
        </w:rPr>
      </w:r>
      <w:r>
        <w:rPr>
          <w:rFonts w:eastAsiaTheme="minorEastAsia"/>
        </w:rPr>
        <w:fldChar w:fldCharType="separate"/>
      </w:r>
      <w:r>
        <w:t xml:space="preserve">Proposal </w:t>
      </w:r>
      <w:r>
        <w:rPr>
          <w:noProof/>
        </w:rPr>
        <w:t>6</w:t>
      </w:r>
      <w:r>
        <w:rPr>
          <w:rFonts w:eastAsiaTheme="minorEastAsia"/>
        </w:rPr>
        <w:fldChar w:fldCharType="end"/>
      </w:r>
      <w:r>
        <w:rPr>
          <w:rFonts w:eastAsiaTheme="minorEastAsia"/>
        </w:rPr>
        <w:t xml:space="preserve"> is provided in </w:t>
      </w:r>
      <w:r>
        <w:rPr>
          <w:rFonts w:eastAsiaTheme="minorEastAsia"/>
        </w:rPr>
        <w:fldChar w:fldCharType="begin"/>
      </w:r>
      <w:r>
        <w:rPr>
          <w:rFonts w:eastAsiaTheme="minorEastAsia"/>
        </w:rPr>
        <w:instrText xml:space="preserve"> REF _Ref127351468 \n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w:t>
      </w:r>
    </w:p>
    <w:p w14:paraId="6C043A17" w14:textId="00713018"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FA8C612" w14:textId="00296518" w:rsidR="009734A9" w:rsidRPr="00005F90" w:rsidRDefault="00005F90" w:rsidP="004B3740">
      <w:pPr>
        <w:rPr>
          <w:lang w:val="en-GB"/>
        </w:rPr>
      </w:pPr>
      <w:bookmarkStart w:id="20" w:name="_Ref95547977"/>
      <w:bookmarkStart w:id="21" w:name="_Ref528853922"/>
      <w:bookmarkStart w:id="22" w:name="_Ref481596356"/>
      <w:bookmarkStart w:id="23" w:name="_Ref481781528"/>
      <w:bookmarkStart w:id="24" w:name="_Ref481782557"/>
      <w:bookmarkStart w:id="25" w:name="_Ref101789663"/>
      <w:bookmarkStart w:id="26" w:name="_Ref102081114"/>
      <w:r w:rsidRPr="00005F90">
        <w:rPr>
          <w:rFonts w:hint="eastAsia"/>
          <w:lang w:val="en-GB"/>
        </w:rPr>
        <w:t>I</w:t>
      </w:r>
      <w:r w:rsidRPr="00005F90">
        <w:rPr>
          <w:lang w:val="en-GB"/>
        </w:rPr>
        <w:t>n this contribution, we make the following observations and proposals.</w:t>
      </w:r>
    </w:p>
    <w:p w14:paraId="4F18061C" w14:textId="130DAAF8"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_Ref127561959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1</w:t>
      </w:r>
      <w:r w:rsidRPr="00005F90">
        <w:rPr>
          <w:b/>
          <w:bCs/>
        </w:rPr>
        <w:t>: SSB is required for UE to perform DL synchronization and uplink timing alignment in RRC Inactive mode for both RA-SDT and CG-SDT.</w:t>
      </w:r>
      <w:r w:rsidRPr="00005F90">
        <w:rPr>
          <w:b/>
          <w:bCs/>
          <w:lang w:val="en-GB"/>
        </w:rPr>
        <w:fldChar w:fldCharType="end"/>
      </w:r>
    </w:p>
    <w:p w14:paraId="5F4AC2F6" w14:textId="0E64A32B"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_Ref127561976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2</w:t>
      </w:r>
      <w:r w:rsidRPr="00005F90">
        <w:rPr>
          <w:b/>
          <w:bCs/>
        </w:rPr>
        <w:t>: When a RedCap-specific initial BWP does not include CD-SSB, NCD-SSB is likely to be transmitted anyway for connected UEs. Hence, NCD-SSB can be shared with inactive UEs for performing SDT without additional overhead to NW.</w:t>
      </w:r>
      <w:r w:rsidRPr="00005F90">
        <w:rPr>
          <w:b/>
          <w:bCs/>
          <w:lang w:val="en-GB"/>
        </w:rPr>
        <w:fldChar w:fldCharType="end"/>
      </w:r>
    </w:p>
    <w:p w14:paraId="3B360B1D" w14:textId="45D46F81"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_Ref127561983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3</w:t>
      </w:r>
      <w:r w:rsidRPr="00005F90">
        <w:rPr>
          <w:b/>
          <w:bCs/>
        </w:rPr>
        <w:t>: It is not clear whether UE should apply SSBs in the current BWP or all SSBs across all configured BWPs in the cell for PRACH/PUCCH occasion validation.</w:t>
      </w:r>
      <w:r w:rsidRPr="00005F90">
        <w:rPr>
          <w:b/>
          <w:bCs/>
          <w:lang w:val="en-GB"/>
        </w:rPr>
        <w:fldChar w:fldCharType="end"/>
      </w:r>
    </w:p>
    <w:p w14:paraId="736F00D0" w14:textId="01C67B43"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_Ref127561990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4</w:t>
      </w:r>
      <w:r w:rsidRPr="00005F90">
        <w:rPr>
          <w:b/>
          <w:bCs/>
        </w:rPr>
        <w:t>: The same UE (e.g. UE1) in different RRC states may apply different SSBs and obtain different valid ROs.</w:t>
      </w:r>
      <w:r w:rsidRPr="00005F90">
        <w:rPr>
          <w:b/>
          <w:bCs/>
          <w:lang w:val="en-GB"/>
        </w:rPr>
        <w:fldChar w:fldCharType="end"/>
      </w:r>
    </w:p>
    <w:p w14:paraId="54A27B68" w14:textId="3673732F"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_Ref127561997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5</w:t>
      </w:r>
      <w:r w:rsidRPr="00005F90">
        <w:rPr>
          <w:b/>
          <w:bCs/>
        </w:rPr>
        <w:t>: Different UEs (e.g. UE1 and UE2 in the same BWP may obtain different valid ROs.</w:t>
      </w:r>
      <w:r w:rsidRPr="00005F90">
        <w:rPr>
          <w:b/>
          <w:bCs/>
          <w:lang w:val="en-GB"/>
        </w:rPr>
        <w:fldChar w:fldCharType="end"/>
      </w:r>
    </w:p>
    <w:p w14:paraId="30523E4F" w14:textId="0616B49C"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_Ref127562004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6</w:t>
      </w:r>
      <w:r w:rsidRPr="00005F90">
        <w:rPr>
          <w:b/>
          <w:bCs/>
        </w:rPr>
        <w:t>: Different UEs in different DL BWPs that are associated to the same UL BWP and the same ROs may obtain different valid ROs.</w:t>
      </w:r>
      <w:r w:rsidRPr="00005F90">
        <w:rPr>
          <w:b/>
          <w:bCs/>
          <w:lang w:val="en-GB"/>
        </w:rPr>
        <w:fldChar w:fldCharType="end"/>
      </w:r>
    </w:p>
    <w:p w14:paraId="2293C327" w14:textId="301B89AF"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_Ref127562004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6</w:t>
      </w:r>
      <w:r w:rsidRPr="00005F90">
        <w:rPr>
          <w:b/>
          <w:bCs/>
        </w:rPr>
        <w:t>: Different UEs in different DL BWPs that are associated to the same UL BWP and the same ROs may obtain different valid ROs.</w:t>
      </w:r>
      <w:r w:rsidRPr="00005F90">
        <w:rPr>
          <w:b/>
          <w:bCs/>
          <w:lang w:val="en-GB"/>
        </w:rPr>
        <w:fldChar w:fldCharType="end"/>
      </w:r>
    </w:p>
    <w:p w14:paraId="30E2AB70" w14:textId="2B7DBD37" w:rsidR="00005F90" w:rsidRPr="00005F90" w:rsidRDefault="00005F90" w:rsidP="004B3740">
      <w:pPr>
        <w:rPr>
          <w:b/>
          <w:bCs/>
          <w:lang w:val="en-GB"/>
        </w:rPr>
      </w:pPr>
      <w:r w:rsidRPr="00005F90">
        <w:rPr>
          <w:b/>
          <w:bCs/>
          <w:lang w:val="en-GB"/>
        </w:rPr>
        <w:lastRenderedPageBreak/>
        <w:fldChar w:fldCharType="begin"/>
      </w:r>
      <w:r w:rsidRPr="00005F90">
        <w:rPr>
          <w:b/>
          <w:bCs/>
          <w:lang w:val="en-GB"/>
        </w:rPr>
        <w:instrText xml:space="preserve"> REF _Ref127562018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Observation </w:t>
      </w:r>
      <w:r w:rsidRPr="00005F90">
        <w:rPr>
          <w:b/>
          <w:bCs/>
          <w:noProof/>
        </w:rPr>
        <w:t>7</w:t>
      </w:r>
      <w:r w:rsidRPr="00005F90">
        <w:rPr>
          <w:b/>
          <w:bCs/>
        </w:rPr>
        <w:t>: SSB/QCL ambiguity may occur at gNB for transmitting RAR/MsgB/Msg4 in CBRA if different UEs apply different SSB (CD- SSB or NCD-SSB) that lead to different valid ROs/POs and SSB-RO/PO associations.</w:t>
      </w:r>
      <w:r w:rsidRPr="00005F90">
        <w:rPr>
          <w:b/>
          <w:bCs/>
          <w:lang w:val="en-GB"/>
        </w:rPr>
        <w:fldChar w:fldCharType="end"/>
      </w:r>
    </w:p>
    <w:p w14:paraId="208092ED" w14:textId="11D0BB21"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_Ref127562033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Proposal </w:t>
      </w:r>
      <w:r w:rsidRPr="00005F90">
        <w:rPr>
          <w:b/>
          <w:bCs/>
          <w:noProof/>
        </w:rPr>
        <w:t>1</w:t>
      </w:r>
      <w:r w:rsidRPr="00005F90">
        <w:rPr>
          <w:b/>
          <w:bCs/>
        </w:rPr>
        <w:t>: RA-SDT and CG-SDT are supported only in an initial BWP with SSB.</w:t>
      </w:r>
      <w:r w:rsidRPr="00005F90">
        <w:rPr>
          <w:b/>
          <w:bCs/>
          <w:lang w:val="en-GB"/>
        </w:rPr>
        <w:fldChar w:fldCharType="end"/>
      </w:r>
    </w:p>
    <w:p w14:paraId="16528368" w14:textId="0FA793CB"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_Ref127562039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Proposal </w:t>
      </w:r>
      <w:r w:rsidRPr="00005F90">
        <w:rPr>
          <w:b/>
          <w:bCs/>
          <w:noProof/>
        </w:rPr>
        <w:t>2</w:t>
      </w:r>
      <w:r w:rsidRPr="00005F90">
        <w:rPr>
          <w:b/>
          <w:bCs/>
        </w:rPr>
        <w:t>: NCD-SSB should be configured to UEs to perform SDT including both RA-SDT and CG-SDT in an initial BWP that does not include CD-SSB.</w:t>
      </w:r>
      <w:r w:rsidRPr="00005F90">
        <w:rPr>
          <w:b/>
          <w:bCs/>
          <w:lang w:val="en-GB"/>
        </w:rPr>
        <w:fldChar w:fldCharType="end"/>
      </w:r>
    </w:p>
    <w:p w14:paraId="25944CAE" w14:textId="2ADD8C11"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_Ref127562046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Proposal </w:t>
      </w:r>
      <w:r w:rsidRPr="00005F90">
        <w:rPr>
          <w:b/>
          <w:bCs/>
          <w:noProof/>
        </w:rPr>
        <w:t>3</w:t>
      </w:r>
      <w:r w:rsidRPr="00005F90">
        <w:rPr>
          <w:b/>
          <w:bCs/>
        </w:rPr>
        <w:t>: UE is not required to monitor SI change indication during a SDT procedure on an initial BWP that does not contain full CD-SSB and CORESET#0. Send LS to RAN2.</w:t>
      </w:r>
      <w:r w:rsidRPr="00005F90">
        <w:rPr>
          <w:b/>
          <w:bCs/>
          <w:lang w:val="en-GB"/>
        </w:rPr>
        <w:fldChar w:fldCharType="end"/>
      </w:r>
    </w:p>
    <w:p w14:paraId="4B216919" w14:textId="1053404B"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_Ref127562054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Proposal </w:t>
      </w:r>
      <w:r w:rsidRPr="00005F90">
        <w:rPr>
          <w:b/>
          <w:bCs/>
          <w:noProof/>
        </w:rPr>
        <w:t>4</w:t>
      </w:r>
      <w:r w:rsidRPr="00005F90">
        <w:rPr>
          <w:b/>
          <w:bCs/>
        </w:rPr>
        <w:t>: ETWS or CMAS capable UE is not required to monitor PWS notification during a SDT procedure on an initial BWP that does not contain full CD-SSB and CORESET#0. Send LS to RAN2.</w:t>
      </w:r>
      <w:r w:rsidRPr="00005F90">
        <w:rPr>
          <w:b/>
          <w:bCs/>
          <w:lang w:val="en-GB"/>
        </w:rPr>
        <w:fldChar w:fldCharType="end"/>
      </w:r>
    </w:p>
    <w:p w14:paraId="1B8FF3B7" w14:textId="64D64819"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_Ref127562060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Proposal </w:t>
      </w:r>
      <w:r w:rsidRPr="00005F90">
        <w:rPr>
          <w:b/>
          <w:bCs/>
          <w:noProof/>
        </w:rPr>
        <w:t>5</w:t>
      </w:r>
      <w:r w:rsidRPr="00005F90">
        <w:rPr>
          <w:b/>
          <w:bCs/>
        </w:rPr>
        <w:t>: RAN1 should discuss and clarify whether/which SSBs for UE to apply for PRACH/PUSCH occasion validation in TDD in the following cases:</w:t>
      </w:r>
      <w:r w:rsidRPr="00005F90">
        <w:rPr>
          <w:b/>
          <w:bCs/>
          <w:lang w:val="en-GB"/>
        </w:rPr>
        <w:fldChar w:fldCharType="end"/>
      </w:r>
    </w:p>
    <w:p w14:paraId="411D3C62" w14:textId="77777777" w:rsidR="00005F90" w:rsidRPr="00005F90" w:rsidRDefault="00005F90" w:rsidP="00005F90">
      <w:pPr>
        <w:pStyle w:val="ListParagraph"/>
        <w:numPr>
          <w:ilvl w:val="0"/>
          <w:numId w:val="33"/>
        </w:numPr>
        <w:ind w:firstLineChars="0"/>
        <w:rPr>
          <w:rFonts w:eastAsiaTheme="minorEastAsia"/>
          <w:b/>
          <w:bCs/>
          <w:sz w:val="20"/>
          <w:szCs w:val="20"/>
        </w:rPr>
      </w:pPr>
      <w:r w:rsidRPr="00005F90">
        <w:rPr>
          <w:rFonts w:eastAsiaTheme="minorEastAsia"/>
          <w:b/>
          <w:bCs/>
          <w:sz w:val="20"/>
          <w:szCs w:val="20"/>
          <w:lang w:eastAsia="zh-TW"/>
        </w:rPr>
        <w:t>Case 1: UE not configured with any SSB in a BWP</w:t>
      </w:r>
    </w:p>
    <w:p w14:paraId="029C42F5" w14:textId="19A25DAF" w:rsidR="00005F90" w:rsidRPr="00005F90" w:rsidRDefault="00005F90" w:rsidP="00005F90">
      <w:pPr>
        <w:pStyle w:val="ListParagraph"/>
        <w:numPr>
          <w:ilvl w:val="0"/>
          <w:numId w:val="33"/>
        </w:numPr>
        <w:ind w:firstLineChars="0"/>
        <w:rPr>
          <w:rFonts w:eastAsiaTheme="minorEastAsia"/>
          <w:b/>
          <w:bCs/>
          <w:sz w:val="20"/>
          <w:szCs w:val="20"/>
        </w:rPr>
      </w:pPr>
      <w:r w:rsidRPr="00005F90">
        <w:rPr>
          <w:rFonts w:eastAsiaTheme="minorEastAsia"/>
          <w:b/>
          <w:bCs/>
          <w:sz w:val="20"/>
          <w:szCs w:val="20"/>
          <w:lang w:eastAsia="zh-TW"/>
        </w:rPr>
        <w:t>Case 2: UE configured NCD-SSB in a BWP</w:t>
      </w:r>
    </w:p>
    <w:p w14:paraId="04F0D380" w14:textId="77777777" w:rsidR="00005F90" w:rsidRPr="00005F90" w:rsidRDefault="00005F90" w:rsidP="00005F90">
      <w:pPr>
        <w:rPr>
          <w:rFonts w:eastAsiaTheme="minorEastAsia" w:hint="eastAsia"/>
          <w:b/>
          <w:bCs/>
        </w:rPr>
      </w:pPr>
    </w:p>
    <w:p w14:paraId="07E81DA7" w14:textId="0B98D288"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_Ref127562070 \h </w:instrText>
      </w:r>
      <w:r w:rsidRPr="00005F90">
        <w:rPr>
          <w:b/>
          <w:bCs/>
          <w:lang w:val="en-GB"/>
        </w:rPr>
      </w:r>
      <w:r w:rsidRPr="00005F90">
        <w:rPr>
          <w:b/>
          <w:bCs/>
          <w:lang w:val="en-GB"/>
        </w:rPr>
        <w:instrText xml:space="preserve"> \* MERGEFORMAT </w:instrText>
      </w:r>
      <w:r w:rsidRPr="00005F90">
        <w:rPr>
          <w:b/>
          <w:bCs/>
          <w:lang w:val="en-GB"/>
        </w:rPr>
        <w:fldChar w:fldCharType="separate"/>
      </w:r>
      <w:r w:rsidRPr="00005F90">
        <w:rPr>
          <w:b/>
          <w:bCs/>
        </w:rPr>
        <w:t xml:space="preserve">Proposal </w:t>
      </w:r>
      <w:r w:rsidRPr="00005F90">
        <w:rPr>
          <w:b/>
          <w:bCs/>
          <w:noProof/>
        </w:rPr>
        <w:t>6</w:t>
      </w:r>
      <w:r w:rsidRPr="00005F90">
        <w:rPr>
          <w:b/>
          <w:bCs/>
        </w:rPr>
        <w:t xml:space="preserve">: UE always applies CD-SSB but not NCD-SSB from </w:t>
      </w:r>
      <w:r w:rsidRPr="00005F90">
        <w:rPr>
          <w:b/>
          <w:bCs/>
          <w:i/>
          <w:iCs/>
        </w:rPr>
        <w:t>NonCellDefiningSSB</w:t>
      </w:r>
      <w:r w:rsidRPr="00005F90">
        <w:rPr>
          <w:b/>
          <w:bCs/>
        </w:rPr>
        <w:t xml:space="preserve"> to determine valid PRACH and PUSCH occasions in TDD regardless of whether/which SSB is configured in the BWP.</w:t>
      </w:r>
      <w:r w:rsidRPr="00005F90">
        <w:rPr>
          <w:b/>
          <w:bCs/>
          <w:lang w:val="en-GB"/>
        </w:rPr>
        <w:fldChar w:fldCharType="end"/>
      </w:r>
    </w:p>
    <w:p w14:paraId="0ACDCD44" w14:textId="7AE8C1C3" w:rsidR="004B3740" w:rsidRPr="00020637" w:rsidRDefault="00614CC0" w:rsidP="004B3740">
      <w:pPr>
        <w:pStyle w:val="Heading1"/>
        <w:jc w:val="both"/>
        <w:rPr>
          <w:lang w:val="en-US" w:eastAsia="zh-CN"/>
        </w:rPr>
      </w:pPr>
      <w:r w:rsidRPr="00020637">
        <w:rPr>
          <w:rFonts w:eastAsia="SimSun"/>
          <w:lang w:val="en-US" w:eastAsia="zh-CN"/>
        </w:rPr>
        <w:t>Reference</w:t>
      </w:r>
      <w:r w:rsidR="004B3740" w:rsidRPr="00020637">
        <w:rPr>
          <w:rFonts w:eastAsia="SimSun"/>
          <w:lang w:val="en-US" w:eastAsia="zh-CN"/>
        </w:rPr>
        <w:t xml:space="preserve"> </w:t>
      </w:r>
    </w:p>
    <w:p w14:paraId="6E4D1C90" w14:textId="046B9368" w:rsidR="006A16B7" w:rsidRDefault="006A16B7" w:rsidP="00F96F3F">
      <w:pPr>
        <w:numPr>
          <w:ilvl w:val="0"/>
          <w:numId w:val="12"/>
        </w:numPr>
        <w:overflowPunct/>
        <w:autoSpaceDE/>
        <w:autoSpaceDN/>
        <w:adjustRightInd/>
        <w:spacing w:after="120"/>
        <w:textAlignment w:val="auto"/>
      </w:pPr>
      <w:bookmarkStart w:id="27" w:name="_Ref127351468"/>
      <w:bookmarkStart w:id="28" w:name="_Ref111251391"/>
      <w:bookmarkStart w:id="29" w:name="_Ref115274183"/>
      <w:bookmarkStart w:id="30" w:name="_Ref118639742"/>
      <w:bookmarkEnd w:id="20"/>
      <w:bookmarkEnd w:id="21"/>
      <w:bookmarkEnd w:id="22"/>
      <w:bookmarkEnd w:id="23"/>
      <w:bookmarkEnd w:id="24"/>
      <w:bookmarkEnd w:id="25"/>
      <w:bookmarkEnd w:id="26"/>
      <w:r w:rsidRPr="00492EE0">
        <w:t>R1-230</w:t>
      </w:r>
      <w:r w:rsidR="00A0425E" w:rsidRPr="00492EE0">
        <w:t>1607</w:t>
      </w:r>
      <w:r w:rsidRPr="00492EE0">
        <w:t>,</w:t>
      </w:r>
      <w:r>
        <w:t xml:space="preserve"> “</w:t>
      </w:r>
      <w:r w:rsidRPr="001E2E85">
        <w:t>Draft CR on validation of PRACH and PUSCH occasions with SSB</w:t>
      </w:r>
      <w:r>
        <w:t>,” MediaTek Inc., RAN1 #112, Feb-March 2023</w:t>
      </w:r>
      <w:bookmarkEnd w:id="27"/>
    </w:p>
    <w:p w14:paraId="62AF05CE" w14:textId="60E61A7E" w:rsidR="001E2E85" w:rsidRPr="00AF788B" w:rsidRDefault="005A2FAB" w:rsidP="008A026A">
      <w:pPr>
        <w:numPr>
          <w:ilvl w:val="0"/>
          <w:numId w:val="12"/>
        </w:numPr>
        <w:overflowPunct/>
        <w:autoSpaceDE/>
        <w:autoSpaceDN/>
        <w:adjustRightInd/>
        <w:spacing w:after="120"/>
        <w:textAlignment w:val="auto"/>
      </w:pPr>
      <w:bookmarkStart w:id="31" w:name="_Ref127354079"/>
      <w:r w:rsidRPr="005A2FAB">
        <w:t>R2-2213022</w:t>
      </w:r>
      <w:r w:rsidR="00090471">
        <w:t>,</w:t>
      </w:r>
      <w:r w:rsidR="00B756E1">
        <w:t xml:space="preserve"> “</w:t>
      </w:r>
      <w:r w:rsidRPr="005A2FAB">
        <w:t>Offline discussion 109 summary (SDT on REDCAP BWP without SSB)</w:t>
      </w:r>
      <w:r w:rsidR="00090471">
        <w:t>,</w:t>
      </w:r>
      <w:r w:rsidR="00B756E1">
        <w:t>”</w:t>
      </w:r>
      <w:r w:rsidR="00B13A04">
        <w:t xml:space="preserve"> </w:t>
      </w:r>
      <w:r>
        <w:t xml:space="preserve">ZTE Corp., </w:t>
      </w:r>
      <w:bookmarkEnd w:id="28"/>
      <w:bookmarkEnd w:id="29"/>
      <w:r w:rsidR="000430AD">
        <w:t xml:space="preserve">RAN2 #120, </w:t>
      </w:r>
      <w:r w:rsidR="000D7D67">
        <w:t>Nov.</w:t>
      </w:r>
      <w:r w:rsidR="002B1FF5">
        <w:t xml:space="preserve"> </w:t>
      </w:r>
      <w:r w:rsidR="00B13A04">
        <w:t>2022</w:t>
      </w:r>
      <w:bookmarkEnd w:id="30"/>
      <w:bookmarkEnd w:id="31"/>
    </w:p>
    <w:p w14:paraId="20E2C7C2" w14:textId="1071FD22" w:rsidR="00AF788B" w:rsidRDefault="00AF788B" w:rsidP="00AF788B">
      <w:pPr>
        <w:overflowPunct/>
        <w:autoSpaceDE/>
        <w:autoSpaceDN/>
        <w:adjustRightInd/>
        <w:spacing w:after="120"/>
        <w:textAlignment w:val="auto"/>
        <w:rPr>
          <w:rFonts w:eastAsiaTheme="minorEastAsia"/>
          <w:lang w:eastAsia="zh-TW"/>
        </w:rPr>
      </w:pPr>
    </w:p>
    <w:sectPr w:rsidR="00AF788B"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B38A8" w14:textId="77777777" w:rsidR="00A007B2" w:rsidRDefault="00A007B2">
      <w:r>
        <w:separator/>
      </w:r>
    </w:p>
  </w:endnote>
  <w:endnote w:type="continuationSeparator" w:id="0">
    <w:p w14:paraId="63A8B68B" w14:textId="77777777" w:rsidR="00A007B2" w:rsidRDefault="00A0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AE6A4" w14:textId="77777777" w:rsidR="00A007B2" w:rsidRDefault="00A007B2">
      <w:r>
        <w:separator/>
      </w:r>
    </w:p>
  </w:footnote>
  <w:footnote w:type="continuationSeparator" w:id="0">
    <w:p w14:paraId="0CF9A1EB" w14:textId="77777777" w:rsidR="00A007B2" w:rsidRDefault="00A00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4"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9"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1"/>
  </w:num>
  <w:num w:numId="4">
    <w:abstractNumId w:val="32"/>
  </w:num>
  <w:num w:numId="5">
    <w:abstractNumId w:val="0"/>
  </w:num>
  <w:num w:numId="6">
    <w:abstractNumId w:val="21"/>
  </w:num>
  <w:num w:numId="7">
    <w:abstractNumId w:val="22"/>
  </w:num>
  <w:num w:numId="8">
    <w:abstractNumId w:val="1"/>
  </w:num>
  <w:num w:numId="9">
    <w:abstractNumId w:val="9"/>
  </w:num>
  <w:num w:numId="10">
    <w:abstractNumId w:val="18"/>
  </w:num>
  <w:num w:numId="11">
    <w:abstractNumId w:val="15"/>
  </w:num>
  <w:num w:numId="12">
    <w:abstractNumId w:val="16"/>
  </w:num>
  <w:num w:numId="13">
    <w:abstractNumId w:val="30"/>
  </w:num>
  <w:num w:numId="14">
    <w:abstractNumId w:val="6"/>
  </w:num>
  <w:num w:numId="15">
    <w:abstractNumId w:val="29"/>
  </w:num>
  <w:num w:numId="16">
    <w:abstractNumId w:val="26"/>
  </w:num>
  <w:num w:numId="17">
    <w:abstractNumId w:val="23"/>
  </w:num>
  <w:num w:numId="18">
    <w:abstractNumId w:val="10"/>
  </w:num>
  <w:num w:numId="19">
    <w:abstractNumId w:val="11"/>
  </w:num>
  <w:num w:numId="20">
    <w:abstractNumId w:val="19"/>
  </w:num>
  <w:num w:numId="21">
    <w:abstractNumId w:val="2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1"/>
  </w:num>
  <w:num w:numId="26">
    <w:abstractNumId w:val="5"/>
  </w:num>
  <w:num w:numId="27">
    <w:abstractNumId w:val="12"/>
  </w:num>
  <w:num w:numId="28">
    <w:abstractNumId w:val="20"/>
  </w:num>
  <w:num w:numId="29">
    <w:abstractNumId w:val="8"/>
  </w:num>
  <w:num w:numId="30">
    <w:abstractNumId w:val="4"/>
  </w:num>
  <w:num w:numId="31">
    <w:abstractNumId w:val="25"/>
  </w:num>
  <w:num w:numId="32">
    <w:abstractNumId w:val="7"/>
  </w:num>
  <w:num w:numId="33">
    <w:abstractNumId w:val="28"/>
  </w:num>
  <w:num w:numId="3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17C"/>
    <w:rsid w:val="00005718"/>
    <w:rsid w:val="000058BF"/>
    <w:rsid w:val="00005912"/>
    <w:rsid w:val="00005A41"/>
    <w:rsid w:val="00005BAF"/>
    <w:rsid w:val="00005D3B"/>
    <w:rsid w:val="00005F90"/>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742"/>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E"/>
    <w:rsid w:val="000B28A0"/>
    <w:rsid w:val="000B29A9"/>
    <w:rsid w:val="000B2D58"/>
    <w:rsid w:val="000B2EA5"/>
    <w:rsid w:val="000B34DA"/>
    <w:rsid w:val="000B3769"/>
    <w:rsid w:val="000B3828"/>
    <w:rsid w:val="000B3933"/>
    <w:rsid w:val="000B39CC"/>
    <w:rsid w:val="000B3A46"/>
    <w:rsid w:val="000B3DCF"/>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0F3"/>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010"/>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9F4"/>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51"/>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760"/>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EE0"/>
    <w:rsid w:val="00493026"/>
    <w:rsid w:val="00493058"/>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4CF"/>
    <w:rsid w:val="005E063C"/>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4FE"/>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89C"/>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3F4"/>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735"/>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0EE"/>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6A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32E"/>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B2"/>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25E"/>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82"/>
    <w:rsid w:val="00A0641B"/>
    <w:rsid w:val="00A06BFC"/>
    <w:rsid w:val="00A06D36"/>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A30"/>
    <w:rsid w:val="00A14B96"/>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E"/>
    <w:rsid w:val="00B3605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021"/>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95"/>
    <w:rsid w:val="00C0100C"/>
    <w:rsid w:val="00C01141"/>
    <w:rsid w:val="00C011FA"/>
    <w:rsid w:val="00C01640"/>
    <w:rsid w:val="00C0169F"/>
    <w:rsid w:val="00C01B06"/>
    <w:rsid w:val="00C020AC"/>
    <w:rsid w:val="00C020D9"/>
    <w:rsid w:val="00C02329"/>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246"/>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3E2"/>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AC0"/>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9F2"/>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B67"/>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F90"/>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6</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603</cp:revision>
  <cp:lastPrinted>2017-10-02T09:51:00Z</cp:lastPrinted>
  <dcterms:created xsi:type="dcterms:W3CDTF">2022-10-21T16:29:00Z</dcterms:created>
  <dcterms:modified xsi:type="dcterms:W3CDTF">2023-02-17T13:36:00Z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